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B0D" w:rsidRDefault="00FC6B0D" w:rsidP="00FC6B0D">
      <w:bookmarkStart w:id="0" w:name="_GoBack"/>
      <w:bookmarkEnd w:id="0"/>
    </w:p>
    <w:tbl>
      <w:tblPr>
        <w:tblStyle w:val="a9"/>
        <w:bidiVisual/>
        <w:tblW w:w="8820" w:type="dxa"/>
        <w:jc w:val="center"/>
        <w:tblLook w:val="01E0" w:firstRow="1" w:lastRow="1" w:firstColumn="1" w:lastColumn="1" w:noHBand="0" w:noVBand="0"/>
      </w:tblPr>
      <w:tblGrid>
        <w:gridCol w:w="743"/>
        <w:gridCol w:w="8077"/>
      </w:tblGrid>
      <w:tr w:rsidR="00FC6B0D" w:rsidRPr="00C13ED9" w:rsidTr="00FC6B0D">
        <w:trPr>
          <w:trHeight w:val="295"/>
          <w:jc w:val="center"/>
        </w:trPr>
        <w:tc>
          <w:tcPr>
            <w:tcW w:w="743" w:type="dxa"/>
            <w:tcBorders>
              <w:top w:val="nil"/>
              <w:left w:val="nil"/>
              <w:bottom w:val="nil"/>
              <w:right w:val="nil"/>
            </w:tcBorders>
            <w:hideMark/>
          </w:tcPr>
          <w:p w:rsidR="00FC6B0D" w:rsidRPr="00C13ED9" w:rsidRDefault="00FC6B0D">
            <w:pPr>
              <w:spacing w:line="360" w:lineRule="auto"/>
              <w:jc w:val="both"/>
              <w:rPr>
                <w:rFonts w:ascii="Arial" w:hAnsi="Arial"/>
                <w:b/>
                <w:bCs/>
                <w:sz w:val="26"/>
                <w:szCs w:val="26"/>
                <w:rtl/>
              </w:rPr>
            </w:pPr>
            <w:r w:rsidRPr="00C13ED9">
              <w:rPr>
                <w:rFonts w:ascii="Arial" w:hAnsi="Arial"/>
                <w:b/>
                <w:bCs/>
                <w:sz w:val="26"/>
                <w:szCs w:val="26"/>
                <w:rtl/>
              </w:rPr>
              <w:t xml:space="preserve">בפני: </w:t>
            </w:r>
          </w:p>
        </w:tc>
        <w:tc>
          <w:tcPr>
            <w:tcW w:w="8077" w:type="dxa"/>
            <w:tcBorders>
              <w:top w:val="nil"/>
              <w:left w:val="nil"/>
              <w:bottom w:val="nil"/>
              <w:right w:val="nil"/>
            </w:tcBorders>
            <w:hideMark/>
          </w:tcPr>
          <w:p w:rsidR="00FC6B0D" w:rsidRPr="00C13ED9" w:rsidRDefault="00FC6B0D">
            <w:pPr>
              <w:spacing w:line="360" w:lineRule="auto"/>
              <w:jc w:val="both"/>
              <w:rPr>
                <w:rFonts w:ascii="Arial" w:hAnsi="Arial"/>
                <w:b/>
                <w:bCs/>
                <w:sz w:val="26"/>
                <w:szCs w:val="26"/>
              </w:rPr>
            </w:pPr>
            <w:r w:rsidRPr="00C13ED9">
              <w:rPr>
                <w:rFonts w:ascii="Arial" w:hAnsi="Arial"/>
                <w:b/>
                <w:bCs/>
                <w:sz w:val="26"/>
                <w:szCs w:val="26"/>
                <w:rtl/>
              </w:rPr>
              <w:t>כב' השופט גלעד נויטל, נשיא, אב"ד</w:t>
            </w:r>
          </w:p>
          <w:p w:rsidR="00FC6B0D" w:rsidRPr="00C13ED9" w:rsidRDefault="00FC6B0D">
            <w:pPr>
              <w:spacing w:line="360" w:lineRule="auto"/>
              <w:jc w:val="both"/>
              <w:rPr>
                <w:rFonts w:ascii="Arial" w:hAnsi="Arial"/>
                <w:b/>
                <w:bCs/>
                <w:sz w:val="26"/>
                <w:szCs w:val="26"/>
              </w:rPr>
            </w:pPr>
            <w:r w:rsidRPr="00C13ED9">
              <w:rPr>
                <w:rFonts w:ascii="Arial" w:hAnsi="Arial"/>
                <w:b/>
                <w:bCs/>
                <w:sz w:val="26"/>
                <w:szCs w:val="26"/>
                <w:rtl/>
              </w:rPr>
              <w:t xml:space="preserve">כב' השופטת טלי חיימוביץ </w:t>
            </w:r>
          </w:p>
          <w:p w:rsidR="00FC6B0D" w:rsidRPr="00C13ED9" w:rsidRDefault="00FC6B0D">
            <w:pPr>
              <w:spacing w:line="360" w:lineRule="auto"/>
              <w:jc w:val="both"/>
              <w:rPr>
                <w:rFonts w:ascii="Arial" w:hAnsi="Arial"/>
                <w:b/>
                <w:bCs/>
                <w:sz w:val="26"/>
                <w:szCs w:val="26"/>
              </w:rPr>
            </w:pPr>
            <w:r w:rsidRPr="00C13ED9">
              <w:rPr>
                <w:rFonts w:ascii="Arial" w:hAnsi="Arial"/>
                <w:b/>
                <w:bCs/>
                <w:sz w:val="26"/>
                <w:szCs w:val="26"/>
                <w:rtl/>
              </w:rPr>
              <w:t>כב' השופטת לימור ביבי</w:t>
            </w:r>
          </w:p>
        </w:tc>
      </w:tr>
    </w:tbl>
    <w:p w:rsidR="00FC6B0D" w:rsidRPr="00C13ED9" w:rsidRDefault="00FC6B0D" w:rsidP="00FC6B0D">
      <w:pPr>
        <w:spacing w:line="360" w:lineRule="auto"/>
        <w:rPr>
          <w:rFonts w:ascii="Arial (W1)" w:hAnsi="Arial (W1)"/>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93"/>
        <w:gridCol w:w="5100"/>
        <w:gridCol w:w="2827"/>
      </w:tblGrid>
      <w:tr w:rsidR="00FC6B0D" w:rsidRPr="00C13ED9" w:rsidTr="00FC6B0D">
        <w:trPr>
          <w:trHeight w:val="355"/>
          <w:jc w:val="center"/>
        </w:trPr>
        <w:tc>
          <w:tcPr>
            <w:tcW w:w="893" w:type="dxa"/>
          </w:tcPr>
          <w:p w:rsidR="00FC6B0D" w:rsidRPr="00C13ED9" w:rsidRDefault="00FC6B0D">
            <w:pPr>
              <w:spacing w:line="360" w:lineRule="auto"/>
              <w:jc w:val="both"/>
              <w:rPr>
                <w:rFonts w:ascii="Arial" w:hAnsi="Arial" w:cs="FrankRuehl"/>
                <w:b/>
                <w:bCs/>
                <w:sz w:val="26"/>
                <w:szCs w:val="26"/>
              </w:rPr>
            </w:pPr>
          </w:p>
          <w:p w:rsidR="00FC6B0D" w:rsidRPr="00C13ED9" w:rsidRDefault="00FC6B0D">
            <w:pPr>
              <w:spacing w:line="360" w:lineRule="auto"/>
              <w:jc w:val="both"/>
              <w:rPr>
                <w:rFonts w:ascii="Arial" w:hAnsi="Arial"/>
                <w:b/>
                <w:bCs/>
                <w:sz w:val="26"/>
                <w:szCs w:val="26"/>
                <w:rtl/>
              </w:rPr>
            </w:pPr>
            <w:r w:rsidRPr="00C13ED9">
              <w:rPr>
                <w:rFonts w:ascii="Arial" w:hAnsi="Arial"/>
                <w:b/>
                <w:bCs/>
                <w:sz w:val="26"/>
                <w:szCs w:val="26"/>
                <w:rtl/>
              </w:rPr>
              <w:t>בעניין:</w:t>
            </w:r>
          </w:p>
        </w:tc>
        <w:tc>
          <w:tcPr>
            <w:tcW w:w="5100" w:type="dxa"/>
          </w:tcPr>
          <w:p w:rsidR="00FC6B0D" w:rsidRPr="00C13ED9" w:rsidRDefault="00FC6B0D">
            <w:pPr>
              <w:spacing w:line="360" w:lineRule="auto"/>
              <w:jc w:val="both"/>
              <w:rPr>
                <w:rFonts w:ascii="Arial" w:hAnsi="Arial"/>
                <w:sz w:val="26"/>
                <w:szCs w:val="26"/>
                <w:rtl/>
              </w:rPr>
            </w:pPr>
          </w:p>
          <w:p w:rsidR="00FC6B0D" w:rsidRPr="00C13ED9" w:rsidRDefault="006C2061">
            <w:pPr>
              <w:spacing w:line="360" w:lineRule="auto"/>
              <w:jc w:val="both"/>
              <w:rPr>
                <w:rFonts w:ascii="Arial" w:hAnsi="Arial"/>
                <w:sz w:val="26"/>
                <w:szCs w:val="26"/>
              </w:rPr>
            </w:pPr>
            <w:sdt>
              <w:sdtPr>
                <w:rPr>
                  <w:b/>
                  <w:bCs/>
                  <w:sz w:val="26"/>
                  <w:szCs w:val="26"/>
                  <w:rtl/>
                </w:rPr>
                <w:alias w:val="1478"/>
                <w:tag w:val="1478"/>
                <w:id w:val="1716308229"/>
                <w:text w:multiLine="1"/>
              </w:sdtPr>
              <w:sdtEndPr/>
              <w:sdtContent>
                <w:r w:rsidR="00FC6B0D" w:rsidRPr="00C13ED9">
                  <w:rPr>
                    <w:rFonts w:ascii="Arial" w:hAnsi="Arial"/>
                    <w:b/>
                    <w:bCs/>
                    <w:sz w:val="26"/>
                    <w:szCs w:val="26"/>
                    <w:rtl/>
                  </w:rPr>
                  <w:t>מדינת ישראל</w:t>
                </w:r>
                <w:r w:rsidR="00FC6B0D" w:rsidRPr="00C13ED9">
                  <w:rPr>
                    <w:b/>
                    <w:bCs/>
                    <w:sz w:val="26"/>
                    <w:szCs w:val="26"/>
                    <w:rtl/>
                  </w:rPr>
                  <w:t xml:space="preserve"> – פרקליטות מחוז ת"א (פלילי)</w:t>
                </w:r>
              </w:sdtContent>
            </w:sdt>
          </w:p>
        </w:tc>
        <w:tc>
          <w:tcPr>
            <w:tcW w:w="2827" w:type="dxa"/>
          </w:tcPr>
          <w:p w:rsidR="00FC6B0D" w:rsidRPr="00C13ED9" w:rsidRDefault="00FC6B0D">
            <w:pPr>
              <w:spacing w:line="360" w:lineRule="auto"/>
              <w:jc w:val="both"/>
              <w:rPr>
                <w:rFonts w:ascii="Arial" w:hAnsi="Arial"/>
                <w:b/>
                <w:bCs/>
                <w:sz w:val="26"/>
                <w:szCs w:val="26"/>
                <w:rtl/>
              </w:rPr>
            </w:pPr>
          </w:p>
          <w:p w:rsidR="00FC6B0D" w:rsidRPr="00C13ED9" w:rsidRDefault="00FC6B0D">
            <w:pPr>
              <w:spacing w:line="360" w:lineRule="auto"/>
              <w:jc w:val="right"/>
              <w:rPr>
                <w:rFonts w:ascii="Arial" w:hAnsi="Arial"/>
                <w:b/>
                <w:bCs/>
                <w:sz w:val="26"/>
                <w:szCs w:val="26"/>
              </w:rPr>
            </w:pPr>
            <w:r w:rsidRPr="00C13ED9">
              <w:rPr>
                <w:rFonts w:ascii="Arial" w:hAnsi="Arial"/>
                <w:b/>
                <w:bCs/>
                <w:sz w:val="26"/>
                <w:szCs w:val="26"/>
                <w:rtl/>
              </w:rPr>
              <w:t>ה</w:t>
            </w:r>
            <w:sdt>
              <w:sdtPr>
                <w:rPr>
                  <w:sz w:val="26"/>
                  <w:szCs w:val="26"/>
                  <w:rtl/>
                </w:rPr>
                <w:alias w:val="1180"/>
                <w:tag w:val="1180"/>
                <w:id w:val="918832479"/>
                <w:text w:multiLine="1"/>
              </w:sdtPr>
              <w:sdtEndPr/>
              <w:sdtContent>
                <w:r w:rsidRPr="00C13ED9">
                  <w:rPr>
                    <w:rFonts w:ascii="Arial" w:hAnsi="Arial"/>
                    <w:b/>
                    <w:bCs/>
                    <w:sz w:val="26"/>
                    <w:szCs w:val="26"/>
                    <w:rtl/>
                  </w:rPr>
                  <w:t>מאשימה</w:t>
                </w:r>
              </w:sdtContent>
            </w:sdt>
          </w:p>
        </w:tc>
      </w:tr>
      <w:tr w:rsidR="00FC6B0D" w:rsidRPr="00C13ED9" w:rsidTr="00FC6B0D">
        <w:trPr>
          <w:trHeight w:val="355"/>
          <w:jc w:val="center"/>
        </w:trPr>
        <w:tc>
          <w:tcPr>
            <w:tcW w:w="893" w:type="dxa"/>
          </w:tcPr>
          <w:p w:rsidR="00FC6B0D" w:rsidRPr="00C13ED9" w:rsidRDefault="00FC6B0D">
            <w:pPr>
              <w:spacing w:line="360" w:lineRule="auto"/>
              <w:jc w:val="both"/>
              <w:rPr>
                <w:rFonts w:ascii="Arial" w:hAnsi="Arial" w:cs="FrankRuehl"/>
                <w:b/>
                <w:bCs/>
                <w:sz w:val="26"/>
                <w:szCs w:val="26"/>
                <w:rtl/>
              </w:rPr>
            </w:pPr>
          </w:p>
        </w:tc>
        <w:tc>
          <w:tcPr>
            <w:tcW w:w="5100" w:type="dxa"/>
            <w:hideMark/>
          </w:tcPr>
          <w:p w:rsidR="00FC6B0D" w:rsidRPr="00C13ED9" w:rsidRDefault="00FC6B0D">
            <w:pPr>
              <w:spacing w:line="360" w:lineRule="auto"/>
              <w:jc w:val="both"/>
              <w:rPr>
                <w:rFonts w:ascii="Arial (W1)" w:hAnsi="Arial (W1)"/>
                <w:sz w:val="26"/>
                <w:szCs w:val="26"/>
              </w:rPr>
            </w:pPr>
            <w:r w:rsidRPr="00C13ED9">
              <w:rPr>
                <w:sz w:val="26"/>
                <w:szCs w:val="26"/>
                <w:rtl/>
              </w:rPr>
              <w:t>ע"י ב"כ עוה"ד איתי פרוסט וצחי יונגר</w:t>
            </w:r>
          </w:p>
        </w:tc>
        <w:tc>
          <w:tcPr>
            <w:tcW w:w="2827" w:type="dxa"/>
          </w:tcPr>
          <w:p w:rsidR="00FC6B0D" w:rsidRPr="00C13ED9" w:rsidRDefault="00FC6B0D">
            <w:pPr>
              <w:spacing w:line="360" w:lineRule="auto"/>
              <w:jc w:val="right"/>
              <w:rPr>
                <w:rFonts w:ascii="Arial" w:hAnsi="Arial"/>
                <w:b/>
                <w:bCs/>
                <w:sz w:val="26"/>
                <w:szCs w:val="26"/>
                <w:rtl/>
              </w:rPr>
            </w:pPr>
          </w:p>
        </w:tc>
      </w:tr>
      <w:tr w:rsidR="00FC6B0D" w:rsidRPr="00C13ED9" w:rsidTr="00FC6B0D">
        <w:trPr>
          <w:trHeight w:val="355"/>
          <w:jc w:val="center"/>
        </w:trPr>
        <w:tc>
          <w:tcPr>
            <w:tcW w:w="893" w:type="dxa"/>
          </w:tcPr>
          <w:p w:rsidR="00FC6B0D" w:rsidRPr="00C13ED9" w:rsidRDefault="00FC6B0D">
            <w:pPr>
              <w:spacing w:line="360" w:lineRule="auto"/>
              <w:jc w:val="both"/>
              <w:rPr>
                <w:rFonts w:ascii="Arial" w:hAnsi="Arial" w:cs="FrankRuehl"/>
                <w:b/>
                <w:bCs/>
                <w:sz w:val="26"/>
                <w:szCs w:val="26"/>
                <w:rtl/>
              </w:rPr>
            </w:pPr>
          </w:p>
        </w:tc>
        <w:tc>
          <w:tcPr>
            <w:tcW w:w="7927" w:type="dxa"/>
            <w:gridSpan w:val="2"/>
          </w:tcPr>
          <w:p w:rsidR="00FC6B0D" w:rsidRPr="00C13ED9" w:rsidRDefault="00FC6B0D">
            <w:pPr>
              <w:spacing w:line="360" w:lineRule="auto"/>
              <w:jc w:val="center"/>
              <w:rPr>
                <w:rFonts w:ascii="Arial" w:hAnsi="Arial"/>
                <w:b/>
                <w:bCs/>
                <w:sz w:val="26"/>
                <w:szCs w:val="26"/>
                <w:rtl/>
              </w:rPr>
            </w:pPr>
          </w:p>
          <w:p w:rsidR="00FC6B0D" w:rsidRPr="00C13ED9" w:rsidRDefault="00FC6B0D">
            <w:pPr>
              <w:spacing w:line="360" w:lineRule="auto"/>
              <w:jc w:val="center"/>
              <w:rPr>
                <w:rFonts w:ascii="Arial" w:hAnsi="Arial"/>
                <w:b/>
                <w:bCs/>
                <w:sz w:val="26"/>
                <w:szCs w:val="26"/>
                <w:rtl/>
              </w:rPr>
            </w:pPr>
            <w:r w:rsidRPr="00C13ED9">
              <w:rPr>
                <w:rFonts w:ascii="Arial" w:hAnsi="Arial"/>
                <w:b/>
                <w:bCs/>
                <w:sz w:val="26"/>
                <w:szCs w:val="26"/>
                <w:rtl/>
              </w:rPr>
              <w:t>נגד</w:t>
            </w:r>
          </w:p>
          <w:p w:rsidR="00FC6B0D" w:rsidRPr="00C13ED9" w:rsidRDefault="00FC6B0D">
            <w:pPr>
              <w:spacing w:line="360" w:lineRule="auto"/>
              <w:jc w:val="both"/>
              <w:rPr>
                <w:rFonts w:ascii="Arial" w:hAnsi="Arial"/>
                <w:b/>
                <w:bCs/>
                <w:sz w:val="26"/>
                <w:szCs w:val="26"/>
                <w:rtl/>
              </w:rPr>
            </w:pPr>
          </w:p>
        </w:tc>
      </w:tr>
      <w:tr w:rsidR="00FC6B0D" w:rsidRPr="00C13ED9" w:rsidTr="00FC6B0D">
        <w:trPr>
          <w:trHeight w:val="355"/>
          <w:jc w:val="center"/>
        </w:trPr>
        <w:tc>
          <w:tcPr>
            <w:tcW w:w="893" w:type="dxa"/>
          </w:tcPr>
          <w:p w:rsidR="00FC6B0D" w:rsidRPr="00C13ED9" w:rsidRDefault="00FC6B0D">
            <w:pPr>
              <w:spacing w:line="360" w:lineRule="auto"/>
              <w:jc w:val="both"/>
              <w:rPr>
                <w:rFonts w:ascii="Arial" w:hAnsi="Arial" w:cs="FrankRuehl"/>
                <w:b/>
                <w:bCs/>
                <w:sz w:val="26"/>
                <w:szCs w:val="26"/>
                <w:rtl/>
              </w:rPr>
            </w:pPr>
          </w:p>
        </w:tc>
        <w:tc>
          <w:tcPr>
            <w:tcW w:w="5100" w:type="dxa"/>
            <w:hideMark/>
          </w:tcPr>
          <w:p w:rsidR="00FC6B0D" w:rsidRPr="00C13ED9" w:rsidRDefault="006C2061">
            <w:pPr>
              <w:spacing w:line="360" w:lineRule="auto"/>
              <w:jc w:val="both"/>
              <w:rPr>
                <w:rFonts w:ascii="Arial (W1)" w:hAnsi="Arial (W1)"/>
                <w:b/>
                <w:bCs/>
                <w:sz w:val="26"/>
                <w:szCs w:val="26"/>
              </w:rPr>
            </w:pPr>
            <w:sdt>
              <w:sdtPr>
                <w:rPr>
                  <w:sz w:val="26"/>
                  <w:szCs w:val="26"/>
                  <w:rtl/>
                </w:rPr>
                <w:alias w:val="1486"/>
                <w:tag w:val="1486"/>
                <w:id w:val="-1321958025"/>
                <w:text w:multiLine="1"/>
              </w:sdtPr>
              <w:sdtEndPr/>
              <w:sdtContent>
                <w:r w:rsidR="00FC6B0D" w:rsidRPr="00C13ED9">
                  <w:rPr>
                    <w:rFonts w:ascii="Arial" w:hAnsi="Arial"/>
                    <w:b/>
                    <w:bCs/>
                    <w:sz w:val="26"/>
                    <w:szCs w:val="26"/>
                    <w:rtl/>
                  </w:rPr>
                  <w:t>פאדי מאלוק</w:t>
                </w:r>
                <w:r w:rsidR="00FC6B0D" w:rsidRPr="00C13ED9">
                  <w:rPr>
                    <w:sz w:val="26"/>
                    <w:szCs w:val="26"/>
                    <w:rtl/>
                  </w:rPr>
                  <w:t xml:space="preserve"> -</w:t>
                </w:r>
              </w:sdtContent>
            </w:sdt>
          </w:p>
        </w:tc>
        <w:tc>
          <w:tcPr>
            <w:tcW w:w="2827" w:type="dxa"/>
            <w:hideMark/>
          </w:tcPr>
          <w:p w:rsidR="00FC6B0D" w:rsidRPr="00C13ED9" w:rsidRDefault="00FC6B0D">
            <w:pPr>
              <w:spacing w:line="360" w:lineRule="auto"/>
              <w:jc w:val="right"/>
              <w:rPr>
                <w:rFonts w:ascii="Arial" w:hAnsi="Arial"/>
                <w:b/>
                <w:bCs/>
                <w:sz w:val="26"/>
                <w:szCs w:val="26"/>
                <w:rtl/>
              </w:rPr>
            </w:pPr>
            <w:r w:rsidRPr="00C13ED9">
              <w:rPr>
                <w:rFonts w:ascii="Arial" w:hAnsi="Arial"/>
                <w:b/>
                <w:bCs/>
                <w:sz w:val="26"/>
                <w:szCs w:val="26"/>
                <w:rtl/>
              </w:rPr>
              <w:t>ה</w:t>
            </w:r>
            <w:sdt>
              <w:sdtPr>
                <w:rPr>
                  <w:sz w:val="26"/>
                  <w:szCs w:val="26"/>
                  <w:rtl/>
                </w:rPr>
                <w:alias w:val="1184"/>
                <w:tag w:val="1184"/>
                <w:id w:val="2120880572"/>
                <w:text w:multiLine="1"/>
              </w:sdtPr>
              <w:sdtEndPr/>
              <w:sdtContent>
                <w:r w:rsidRPr="00C13ED9">
                  <w:rPr>
                    <w:rFonts w:ascii="Arial" w:hAnsi="Arial"/>
                    <w:b/>
                    <w:bCs/>
                    <w:sz w:val="26"/>
                    <w:szCs w:val="26"/>
                    <w:rtl/>
                  </w:rPr>
                  <w:t>נאשם</w:t>
                </w:r>
              </w:sdtContent>
            </w:sdt>
          </w:p>
        </w:tc>
      </w:tr>
      <w:tr w:rsidR="00FC6B0D" w:rsidRPr="00C13ED9" w:rsidTr="00FC6B0D">
        <w:trPr>
          <w:trHeight w:val="355"/>
          <w:jc w:val="center"/>
        </w:trPr>
        <w:tc>
          <w:tcPr>
            <w:tcW w:w="893" w:type="dxa"/>
          </w:tcPr>
          <w:p w:rsidR="00FC6B0D" w:rsidRPr="00C13ED9" w:rsidRDefault="00FC6B0D">
            <w:pPr>
              <w:spacing w:line="360" w:lineRule="auto"/>
              <w:jc w:val="both"/>
              <w:rPr>
                <w:rFonts w:ascii="Arial" w:hAnsi="Arial" w:cs="FrankRuehl"/>
                <w:b/>
                <w:bCs/>
                <w:sz w:val="26"/>
                <w:szCs w:val="26"/>
                <w:rtl/>
              </w:rPr>
            </w:pPr>
          </w:p>
        </w:tc>
        <w:tc>
          <w:tcPr>
            <w:tcW w:w="5100" w:type="dxa"/>
            <w:hideMark/>
          </w:tcPr>
          <w:p w:rsidR="00FC6B0D" w:rsidRPr="00C13ED9" w:rsidRDefault="00FC6B0D">
            <w:pPr>
              <w:spacing w:line="360" w:lineRule="auto"/>
              <w:jc w:val="both"/>
              <w:rPr>
                <w:rFonts w:ascii="Arial (W1)" w:hAnsi="Arial (W1)"/>
                <w:sz w:val="26"/>
                <w:szCs w:val="26"/>
              </w:rPr>
            </w:pPr>
            <w:r w:rsidRPr="00C13ED9">
              <w:rPr>
                <w:sz w:val="26"/>
                <w:szCs w:val="26"/>
                <w:rtl/>
              </w:rPr>
              <w:t>ע"י ב"כ עוה"ד עופר אשכנזי ושנהב מצה</w:t>
            </w:r>
          </w:p>
        </w:tc>
        <w:tc>
          <w:tcPr>
            <w:tcW w:w="2827" w:type="dxa"/>
          </w:tcPr>
          <w:p w:rsidR="00FC6B0D" w:rsidRPr="00C13ED9" w:rsidRDefault="00FC6B0D">
            <w:pPr>
              <w:spacing w:line="360" w:lineRule="auto"/>
              <w:jc w:val="right"/>
              <w:rPr>
                <w:rFonts w:ascii="Arial" w:hAnsi="Arial"/>
                <w:b/>
                <w:bCs/>
                <w:sz w:val="26"/>
                <w:szCs w:val="26"/>
                <w:rtl/>
              </w:rPr>
            </w:pPr>
          </w:p>
        </w:tc>
      </w:tr>
    </w:tbl>
    <w:p w:rsidR="00FC6B0D" w:rsidRPr="00C13ED9" w:rsidRDefault="00FC6B0D" w:rsidP="00FC6B0D">
      <w:pPr>
        <w:spacing w:line="360" w:lineRule="auto"/>
        <w:rPr>
          <w:rFonts w:ascii="Arial (W1)" w:hAnsi="Arial (W1)"/>
          <w:rtl/>
        </w:rPr>
      </w:pPr>
    </w:p>
    <w:tbl>
      <w:tblPr>
        <w:tblStyle w:val="a9"/>
        <w:bidiVisual/>
        <w:tblW w:w="8820" w:type="dxa"/>
        <w:jc w:val="center"/>
        <w:tblLook w:val="01E0" w:firstRow="1" w:lastRow="1" w:firstColumn="1" w:lastColumn="1" w:noHBand="0" w:noVBand="0"/>
      </w:tblPr>
      <w:tblGrid>
        <w:gridCol w:w="8820"/>
      </w:tblGrid>
      <w:tr w:rsidR="00FC6B0D" w:rsidRPr="00C13ED9" w:rsidTr="00FC6B0D">
        <w:trPr>
          <w:trHeight w:val="355"/>
          <w:jc w:val="center"/>
        </w:trPr>
        <w:tc>
          <w:tcPr>
            <w:tcW w:w="8820" w:type="dxa"/>
            <w:tcBorders>
              <w:top w:val="nil"/>
              <w:left w:val="nil"/>
              <w:bottom w:val="nil"/>
              <w:right w:val="nil"/>
            </w:tcBorders>
            <w:hideMark/>
          </w:tcPr>
          <w:p w:rsidR="00FC6B0D" w:rsidRPr="00C13ED9" w:rsidRDefault="00FC6B0D">
            <w:pPr>
              <w:spacing w:line="360" w:lineRule="auto"/>
              <w:jc w:val="center"/>
              <w:rPr>
                <w:rFonts w:ascii="Arial" w:hAnsi="Arial"/>
                <w:sz w:val="40"/>
                <w:szCs w:val="40"/>
                <w:u w:val="single"/>
                <w:rtl/>
              </w:rPr>
            </w:pPr>
            <w:r w:rsidRPr="00C13ED9">
              <w:rPr>
                <w:rFonts w:ascii="Arial" w:hAnsi="Arial" w:hint="cs"/>
                <w:b/>
                <w:bCs/>
                <w:sz w:val="40"/>
                <w:szCs w:val="40"/>
                <w:u w:val="single"/>
                <w:rtl/>
              </w:rPr>
              <w:t>גזר</w:t>
            </w:r>
            <w:r w:rsidRPr="00C13ED9">
              <w:rPr>
                <w:rFonts w:ascii="Arial" w:hAnsi="Arial"/>
                <w:b/>
                <w:bCs/>
                <w:sz w:val="40"/>
                <w:szCs w:val="40"/>
                <w:u w:val="single"/>
                <w:rtl/>
              </w:rPr>
              <w:t xml:space="preserve"> דין</w:t>
            </w:r>
          </w:p>
        </w:tc>
      </w:tr>
    </w:tbl>
    <w:p w:rsidR="006E1BCE" w:rsidRPr="00C13ED9" w:rsidRDefault="006E1BCE" w:rsidP="00FC6B0D">
      <w:pPr>
        <w:spacing w:line="360" w:lineRule="auto"/>
        <w:jc w:val="both"/>
        <w:rPr>
          <w:b/>
          <w:bCs/>
          <w:sz w:val="28"/>
          <w:szCs w:val="28"/>
          <w:u w:val="single"/>
          <w:rtl/>
        </w:rPr>
      </w:pPr>
      <w:bookmarkStart w:id="1" w:name="NGCSBookmark"/>
      <w:bookmarkEnd w:id="1"/>
    </w:p>
    <w:p w:rsidR="00FC6B0D" w:rsidRPr="00C13ED9" w:rsidRDefault="00FC6B0D" w:rsidP="006E1BCE">
      <w:pPr>
        <w:spacing w:line="360" w:lineRule="auto"/>
        <w:ind w:left="-113" w:hanging="113"/>
        <w:jc w:val="both"/>
        <w:rPr>
          <w:rFonts w:ascii="Arial (W1)" w:hAnsi="Arial (W1)"/>
          <w:b/>
          <w:bCs/>
          <w:sz w:val="28"/>
          <w:szCs w:val="28"/>
          <w:u w:val="single"/>
          <w:rtl/>
        </w:rPr>
      </w:pPr>
      <w:r w:rsidRPr="00C13ED9">
        <w:rPr>
          <w:b/>
          <w:bCs/>
          <w:sz w:val="28"/>
          <w:szCs w:val="28"/>
          <w:u w:val="single"/>
          <w:rtl/>
        </w:rPr>
        <w:t>השופטת לימור ביבי</w:t>
      </w:r>
      <w:r w:rsidRPr="00C13ED9">
        <w:rPr>
          <w:b/>
          <w:bCs/>
          <w:sz w:val="28"/>
          <w:szCs w:val="28"/>
          <w:rtl/>
        </w:rPr>
        <w:t>:</w:t>
      </w:r>
    </w:p>
    <w:p w:rsidR="006F553B" w:rsidRPr="00C13ED9" w:rsidRDefault="006F553B" w:rsidP="006E1BCE">
      <w:pPr>
        <w:spacing w:line="360" w:lineRule="auto"/>
        <w:ind w:left="-113" w:hanging="113"/>
        <w:jc w:val="both"/>
        <w:rPr>
          <w:rFonts w:ascii="Arial (W1)" w:hAnsi="Arial (W1)"/>
          <w:b/>
          <w:bCs/>
          <w:sz w:val="28"/>
          <w:szCs w:val="28"/>
          <w:u w:val="single"/>
          <w:rtl/>
        </w:rPr>
      </w:pPr>
    </w:p>
    <w:p w:rsidR="006E1BCE" w:rsidRPr="00C13ED9" w:rsidRDefault="006E1BCE" w:rsidP="006F553B">
      <w:pPr>
        <w:spacing w:line="360" w:lineRule="auto"/>
        <w:ind w:left="-199"/>
        <w:jc w:val="both"/>
        <w:rPr>
          <w:rFonts w:ascii="Arial" w:hAnsi="Arial"/>
          <w:sz w:val="36"/>
          <w:szCs w:val="36"/>
          <w:u w:val="single"/>
          <w:rtl/>
        </w:rPr>
      </w:pPr>
      <w:r w:rsidRPr="00C13ED9">
        <w:rPr>
          <w:rFonts w:ascii="David" w:hAnsi="David"/>
          <w:rtl/>
        </w:rPr>
        <w:t xml:space="preserve">הנאשם הורשע פה אחד, לאחר שמיעת ראיות, בביצוע </w:t>
      </w:r>
      <w:r w:rsidRPr="00C13ED9">
        <w:rPr>
          <w:rFonts w:ascii="David" w:hAnsi="David" w:hint="cs"/>
          <w:rtl/>
        </w:rPr>
        <w:t>שתי עבירות</w:t>
      </w:r>
      <w:r w:rsidRPr="00C13ED9">
        <w:rPr>
          <w:rFonts w:ascii="David" w:hAnsi="David"/>
          <w:rtl/>
        </w:rPr>
        <w:t xml:space="preserve"> של רצח בכוונה תחילה לפי ס</w:t>
      </w:r>
      <w:r w:rsidRPr="00C13ED9">
        <w:rPr>
          <w:rFonts w:ascii="David" w:hAnsi="David" w:hint="cs"/>
          <w:rtl/>
        </w:rPr>
        <w:t xml:space="preserve">עיף 300(א)(2) לחוק העונשין, תשל"ז </w:t>
      </w:r>
      <w:r w:rsidRPr="00C13ED9">
        <w:rPr>
          <w:rFonts w:ascii="David" w:hAnsi="David"/>
          <w:rtl/>
        </w:rPr>
        <w:t>–</w:t>
      </w:r>
      <w:r w:rsidRPr="00C13ED9">
        <w:rPr>
          <w:rFonts w:ascii="David" w:hAnsi="David" w:hint="cs"/>
          <w:rtl/>
        </w:rPr>
        <w:t xml:space="preserve"> 1977 </w:t>
      </w:r>
      <w:r w:rsidRPr="00C13ED9">
        <w:rPr>
          <w:rFonts w:ascii="David" w:hAnsi="David"/>
          <w:rtl/>
        </w:rPr>
        <w:t>(להלן: "</w:t>
      </w:r>
      <w:r w:rsidRPr="00C13ED9">
        <w:rPr>
          <w:rFonts w:ascii="David" w:hAnsi="David"/>
          <w:b/>
          <w:bCs/>
          <w:rtl/>
        </w:rPr>
        <w:t>חוק העונשין</w:t>
      </w:r>
      <w:r w:rsidRPr="00C13ED9">
        <w:rPr>
          <w:rFonts w:ascii="David" w:hAnsi="David"/>
          <w:rtl/>
        </w:rPr>
        <w:t>")</w:t>
      </w:r>
      <w:r w:rsidRPr="00C13ED9">
        <w:rPr>
          <w:rFonts w:ascii="David" w:hAnsi="David" w:hint="cs"/>
          <w:rtl/>
        </w:rPr>
        <w:t xml:space="preserve"> וכן בעבירה של פציעה בנסיבות מחמירות לפי סעיפים 334 ו -335(א)(1) לחוק העונשין</w:t>
      </w:r>
      <w:r w:rsidRPr="00C13ED9">
        <w:rPr>
          <w:rFonts w:ascii="David" w:hAnsi="David"/>
          <w:rtl/>
        </w:rPr>
        <w:t xml:space="preserve">. </w:t>
      </w:r>
    </w:p>
    <w:p w:rsidR="006E1BCE" w:rsidRPr="00C13ED9" w:rsidRDefault="006E1BCE" w:rsidP="006F553B">
      <w:pPr>
        <w:spacing w:line="360" w:lineRule="auto"/>
        <w:ind w:left="-199"/>
        <w:jc w:val="both"/>
        <w:rPr>
          <w:rFonts w:ascii="David" w:hAnsi="David"/>
          <w:b/>
          <w:bCs/>
          <w:u w:val="single"/>
          <w:rtl/>
        </w:rPr>
      </w:pPr>
    </w:p>
    <w:p w:rsidR="006E1BCE" w:rsidRPr="00C13ED9" w:rsidRDefault="006E1BCE" w:rsidP="006F553B">
      <w:pPr>
        <w:spacing w:line="360" w:lineRule="auto"/>
        <w:ind w:left="-199"/>
        <w:jc w:val="both"/>
        <w:rPr>
          <w:rFonts w:ascii="David" w:hAnsi="David"/>
          <w:rtl/>
        </w:rPr>
      </w:pPr>
      <w:r w:rsidRPr="00C13ED9">
        <w:rPr>
          <w:rFonts w:ascii="David" w:hAnsi="David"/>
          <w:b/>
          <w:bCs/>
          <w:u w:val="single"/>
          <w:rtl/>
        </w:rPr>
        <w:t>בקצירת האומר, אלה מעשי הנאשם על פי הכרעת הדי</w:t>
      </w:r>
      <w:r w:rsidRPr="00C13ED9">
        <w:rPr>
          <w:rFonts w:ascii="David" w:hAnsi="David" w:hint="cs"/>
          <w:b/>
          <w:bCs/>
          <w:u w:val="single"/>
          <w:rtl/>
        </w:rPr>
        <w:t>ן מיום 12/7/23</w:t>
      </w:r>
      <w:r w:rsidRPr="00C13ED9">
        <w:rPr>
          <w:rFonts w:ascii="David" w:hAnsi="David"/>
          <w:rtl/>
        </w:rPr>
        <w:t>–</w:t>
      </w:r>
    </w:p>
    <w:p w:rsidR="006F553B" w:rsidRPr="00C13ED9" w:rsidRDefault="006E1BCE" w:rsidP="006F553B">
      <w:pPr>
        <w:spacing w:line="360" w:lineRule="auto"/>
        <w:ind w:left="-199"/>
        <w:jc w:val="both"/>
        <w:rPr>
          <w:rFonts w:ascii="David" w:hAnsi="David"/>
          <w:rtl/>
        </w:rPr>
      </w:pPr>
      <w:r w:rsidRPr="00C13ED9">
        <w:rPr>
          <w:rFonts w:ascii="David" w:hAnsi="David"/>
          <w:rtl/>
        </w:rPr>
        <w:lastRenderedPageBreak/>
        <w:t>ביום 17/5/18 בשעה 5:00 לערך, לאחר שבני משפחתו סיימו את סעודת פתיחת צום חודש הרמדאן ושכבו לישון, נטל הנאשם סכין מטבח ודקר באמצעותה בשנתן את שתי אחיותיו – חאית מאלוק ז"ל (ילידת 1996) ונורית מאלוק ז"ל (ילידת 1998). בעת שהחל הנאשם לדקור את אחותו חאית, הדירה הייתה שרויה בחשכה, מרבית בני הבית (לבד משני אחים) כבר ישנו, אולם בשעת מעשה הבחינו שני אחיו במעשיו וקריאותיהם לעברו כי יחדל ממעשיו, הן שהעירו את בני הבית. לאחר שסיים הנאשם לדקור את חאית ז"ל בתחילה במיטתה ולאחר מכן גם על הרצפה, פנה הנאשם בחושך לחדר בו ישנה נורית – כאשר מצדה האחד אמה – שריפה ומצדה האחר שני ילדים קטינים – האחד ז.מ. – בנה של חאית (יליד 2014) והשני – בנה של נורית, הנאשם רכן מעל אמו ודקר את נורית, תוך שהוא אומר "תמותי תמותי". כפועל יוצא מהדקירות נגרם מותן של שתי האחיות-הקורבנות והכל – כאמור כאשר למעשים ולמצער לתוצאותיהם הקטלניות הקשות, היו עדים בני משפחתן של הקורבנות ובכלל כך – אחיהן, אמן וילדיהן של המנוחות. אגב דקירותיה של נורית, נפגע גם בנה הקטן של חאית ז.מ., אשר כאמור ישן לצידה של נורית.</w:t>
      </w:r>
      <w:r w:rsidRPr="00C13ED9">
        <w:rPr>
          <w:rFonts w:ascii="David" w:hAnsi="David" w:hint="cs"/>
          <w:rtl/>
        </w:rPr>
        <w:t xml:space="preserve">במסגרת הכרעת הדין פורט כי צבר הראיות אשר הוצגו בפני בית המשפט היה בו כדי ללמד על כך שהנאשם החליט להרוג את אחיותיו המנוחות. זאת ועוד, נקבע כי למעשיו של הנאשם קדמו תכנון והכנה בשני מישורים- ראשית בבחירת עיתוי המעשה בשעת לילה מאוחרת בה כלל בני הבית ישנים והוא מפתיע את המנוחות בעת שנתן ושנית, </w:t>
      </w:r>
      <w:r w:rsidRPr="00C13ED9">
        <w:rPr>
          <w:rFonts w:ascii="David" w:hAnsi="David"/>
          <w:rtl/>
        </w:rPr>
        <w:t>בנטילת הסכין אשר שימשה לביצוע המעשה</w:t>
      </w:r>
      <w:r w:rsidRPr="00C13ED9">
        <w:rPr>
          <w:rFonts w:ascii="David" w:hAnsi="David" w:hint="cs"/>
          <w:rtl/>
        </w:rPr>
        <w:t xml:space="preserve"> </w:t>
      </w:r>
      <w:r w:rsidRPr="00C13ED9">
        <w:rPr>
          <w:rFonts w:ascii="David" w:hAnsi="David"/>
          <w:rtl/>
        </w:rPr>
        <w:t>–</w:t>
      </w:r>
      <w:r w:rsidRPr="00C13ED9">
        <w:rPr>
          <w:rFonts w:ascii="David" w:hAnsi="David" w:hint="cs"/>
          <w:rtl/>
        </w:rPr>
        <w:t xml:space="preserve"> שהיא סכין עם להב ארוך וחד</w:t>
      </w:r>
      <w:r w:rsidRPr="00C13ED9">
        <w:rPr>
          <w:rFonts w:ascii="David" w:hAnsi="David"/>
          <w:rtl/>
        </w:rPr>
        <w:t xml:space="preserve">. </w:t>
      </w:r>
      <w:r w:rsidRPr="00C13ED9">
        <w:rPr>
          <w:rFonts w:ascii="David" w:hAnsi="David" w:hint="cs"/>
          <w:rtl/>
        </w:rPr>
        <w:t xml:space="preserve">זאת ועוד, במסגרת הכרעת הדין נקבע גם כי מעשיו של הנאשם נעשו באכזריות מיוחדת. זאת ראשית הואיל ומדובר בשני מעשי רצח אשר ביצע </w:t>
      </w:r>
      <w:r w:rsidRPr="00C13ED9">
        <w:rPr>
          <w:rFonts w:ascii="David" w:hAnsi="David"/>
          <w:rtl/>
        </w:rPr>
        <w:t xml:space="preserve">הנאשם שהוא אח אשר רצח את אחיותיו. נוסף על כך </w:t>
      </w:r>
      <w:r w:rsidRPr="00C13ED9">
        <w:rPr>
          <w:rFonts w:ascii="David" w:hAnsi="David" w:hint="cs"/>
          <w:rtl/>
        </w:rPr>
        <w:t>מש</w:t>
      </w:r>
      <w:r w:rsidRPr="00C13ED9">
        <w:rPr>
          <w:rFonts w:ascii="David" w:hAnsi="David"/>
          <w:rtl/>
        </w:rPr>
        <w:t>הנאשם דקר את כל אחת מהקורבנות מספר רב של דקירות</w:t>
      </w:r>
      <w:r w:rsidRPr="00C13ED9">
        <w:rPr>
          <w:rFonts w:ascii="David" w:hAnsi="David" w:hint="cs"/>
          <w:rtl/>
        </w:rPr>
        <w:t xml:space="preserve"> וב</w:t>
      </w:r>
      <w:r w:rsidRPr="00C13ED9">
        <w:rPr>
          <w:rFonts w:ascii="David" w:hAnsi="David"/>
          <w:rtl/>
        </w:rPr>
        <w:t>אשר לחאית הוכח כי חלק מהדקירות בוצעו כאשר חאית במיטה וחלק לאחר שירדה מהמיטה אל הריצפה. זאת ועוד, בעת מעשה הרצח נכחו במקום כלל בני משפחתו של הנאשם, אחיו- אשר ראו את ההתרחשות מתחילתה, אמו אשר הייתה עדה לדקירות נורית (ואשר אף העידה כי מרוב הלם אף עשתה את צרכיה על עצמה) וילדיהן של המנוחות אשר שכבו לצד נורית במיטתה ואחד מהם אף נפגע במהלך האירוע.</w:t>
      </w:r>
    </w:p>
    <w:p w:rsidR="006E1BCE" w:rsidRPr="00C13ED9" w:rsidRDefault="006E1BCE" w:rsidP="006F553B">
      <w:pPr>
        <w:spacing w:line="360" w:lineRule="auto"/>
        <w:ind w:left="-199"/>
        <w:jc w:val="both"/>
        <w:rPr>
          <w:rFonts w:ascii="David" w:hAnsi="David"/>
          <w:rtl/>
        </w:rPr>
      </w:pPr>
      <w:r w:rsidRPr="00C13ED9">
        <w:rPr>
          <w:rFonts w:ascii="David" w:hAnsi="David" w:hint="cs"/>
          <w:rtl/>
        </w:rPr>
        <w:t xml:space="preserve">בכל הנוגע לפציעתו של ז.מ הקטין, נקבע בהכרעת הדין כי שעה שאין חולק כי ז.מ. נפגע בנסיבות בהן, </w:t>
      </w:r>
      <w:r w:rsidRPr="00C13ED9">
        <w:rPr>
          <w:rFonts w:ascii="David" w:hAnsi="David"/>
          <w:rtl/>
        </w:rPr>
        <w:t>נטל הנאשם סכין ארוכת להב וחדה, ודקר את אחותו נורית במיטה כאשר בסמוך לה ישנו באותה עת עוד שלושה מבני משפחתו, ביניהם גם ז.מ</w:t>
      </w:r>
      <w:r w:rsidRPr="00C13ED9">
        <w:rPr>
          <w:rFonts w:ascii="David" w:hAnsi="David" w:hint="cs"/>
          <w:rtl/>
        </w:rPr>
        <w:t xml:space="preserve"> </w:t>
      </w:r>
      <w:r w:rsidRPr="00C13ED9">
        <w:rPr>
          <w:rFonts w:ascii="David" w:hAnsi="David"/>
          <w:rtl/>
        </w:rPr>
        <w:t>–</w:t>
      </w:r>
      <w:r w:rsidRPr="00C13ED9">
        <w:rPr>
          <w:rFonts w:ascii="David" w:hAnsi="David" w:hint="cs"/>
          <w:rtl/>
        </w:rPr>
        <w:t xml:space="preserve"> הרי שמתקיימים</w:t>
      </w:r>
      <w:r w:rsidRPr="00C13ED9">
        <w:rPr>
          <w:rFonts w:ascii="David" w:hAnsi="David"/>
          <w:rtl/>
        </w:rPr>
        <w:t xml:space="preserve"> בנסיבות אלו, </w:t>
      </w:r>
      <w:r w:rsidRPr="00C13ED9">
        <w:rPr>
          <w:rFonts w:ascii="David" w:hAnsi="David" w:hint="cs"/>
          <w:rtl/>
        </w:rPr>
        <w:t>היסוד העובדתי והתנהגותי וכן היסוד הנפשי הנדרש לשם הרשעה בעבירה של פציעה בנסיבות מחמירות.</w:t>
      </w:r>
    </w:p>
    <w:p w:rsidR="006E1BCE" w:rsidRPr="00C13ED9" w:rsidRDefault="006E1BCE" w:rsidP="006F553B">
      <w:pPr>
        <w:spacing w:line="360" w:lineRule="auto"/>
        <w:ind w:left="-199"/>
        <w:jc w:val="both"/>
        <w:rPr>
          <w:rFonts w:ascii="David" w:hAnsi="David"/>
          <w:b/>
          <w:bCs/>
          <w:u w:val="single"/>
          <w:rtl/>
        </w:rPr>
      </w:pPr>
    </w:p>
    <w:p w:rsidR="006E1BCE" w:rsidRPr="00C13ED9" w:rsidRDefault="006E1BCE" w:rsidP="006F553B">
      <w:pPr>
        <w:spacing w:line="360" w:lineRule="auto"/>
        <w:ind w:left="-199"/>
        <w:jc w:val="both"/>
        <w:rPr>
          <w:rFonts w:ascii="David" w:hAnsi="David"/>
          <w:rtl/>
        </w:rPr>
      </w:pPr>
      <w:r w:rsidRPr="00C13ED9">
        <w:rPr>
          <w:rFonts w:ascii="David" w:hAnsi="David"/>
          <w:b/>
          <w:bCs/>
          <w:u w:val="single"/>
          <w:rtl/>
        </w:rPr>
        <w:lastRenderedPageBreak/>
        <w:t>ראיות לעונש:</w:t>
      </w:r>
      <w:r w:rsidRPr="00C13ED9">
        <w:rPr>
          <w:rFonts w:ascii="David" w:hAnsi="David"/>
          <w:rtl/>
        </w:rPr>
        <w:t xml:space="preserve"> </w:t>
      </w:r>
    </w:p>
    <w:p w:rsidR="006E1BCE" w:rsidRPr="00C13ED9" w:rsidRDefault="006E1BCE" w:rsidP="006F553B">
      <w:pPr>
        <w:spacing w:line="360" w:lineRule="auto"/>
        <w:ind w:left="-199"/>
        <w:jc w:val="both"/>
        <w:rPr>
          <w:rFonts w:ascii="David" w:hAnsi="David"/>
          <w:rtl/>
        </w:rPr>
      </w:pPr>
      <w:r w:rsidRPr="00C13ED9">
        <w:rPr>
          <w:rFonts w:ascii="David" w:hAnsi="David"/>
          <w:rtl/>
        </w:rPr>
        <w:t xml:space="preserve">ביום </w:t>
      </w:r>
      <w:r w:rsidRPr="00C13ED9">
        <w:rPr>
          <w:rFonts w:ascii="David" w:hAnsi="David" w:hint="cs"/>
          <w:rtl/>
        </w:rPr>
        <w:t>8/11/23</w:t>
      </w:r>
      <w:r w:rsidRPr="00C13ED9">
        <w:rPr>
          <w:rFonts w:ascii="David" w:hAnsi="David"/>
          <w:rtl/>
        </w:rPr>
        <w:t xml:space="preserve"> הוגש</w:t>
      </w:r>
      <w:r w:rsidRPr="00C13ED9">
        <w:rPr>
          <w:rFonts w:ascii="David" w:hAnsi="David" w:hint="cs"/>
          <w:rtl/>
        </w:rPr>
        <w:t xml:space="preserve"> </w:t>
      </w:r>
      <w:r w:rsidRPr="00C13ED9">
        <w:rPr>
          <w:rFonts w:ascii="David" w:hAnsi="David"/>
          <w:rtl/>
        </w:rPr>
        <w:t>מטעם המאשימה כראיות לעונש - הרישום הפלילי של הנאשם (</w:t>
      </w:r>
      <w:r w:rsidRPr="00C13ED9">
        <w:rPr>
          <w:rFonts w:ascii="David" w:hAnsi="David" w:hint="cs"/>
          <w:u w:val="single"/>
          <w:rtl/>
        </w:rPr>
        <w:t>ת</w:t>
      </w:r>
      <w:r w:rsidRPr="00C13ED9">
        <w:rPr>
          <w:rFonts w:ascii="David" w:hAnsi="David"/>
          <w:u w:val="single"/>
          <w:rtl/>
        </w:rPr>
        <w:t>1</w:t>
      </w:r>
      <w:r w:rsidRPr="00C13ED9">
        <w:rPr>
          <w:rFonts w:ascii="David" w:hAnsi="David"/>
          <w:rtl/>
        </w:rPr>
        <w:t>).</w:t>
      </w:r>
    </w:p>
    <w:p w:rsidR="006E1BCE" w:rsidRPr="00C13ED9" w:rsidRDefault="006E1BCE" w:rsidP="006F553B">
      <w:pPr>
        <w:spacing w:line="360" w:lineRule="auto"/>
        <w:ind w:left="-199"/>
        <w:jc w:val="both"/>
        <w:rPr>
          <w:rFonts w:ascii="David" w:hAnsi="David"/>
          <w:rtl/>
        </w:rPr>
      </w:pPr>
      <w:r w:rsidRPr="00C13ED9">
        <w:rPr>
          <w:rFonts w:ascii="David" w:hAnsi="David"/>
          <w:rtl/>
        </w:rPr>
        <w:t>עיון ברישום הפלילי של הנאשם מלמד על כך, שרשומות לחובת הנאשם העבירות הבאות</w:t>
      </w:r>
      <w:r w:rsidRPr="00C13ED9">
        <w:rPr>
          <w:rFonts w:ascii="David" w:hAnsi="David" w:hint="cs"/>
          <w:rtl/>
        </w:rPr>
        <w:t>:</w:t>
      </w:r>
      <w:r w:rsidRPr="00C13ED9">
        <w:rPr>
          <w:rFonts w:ascii="David" w:hAnsi="David"/>
          <w:rtl/>
        </w:rPr>
        <w:t xml:space="preserve"> </w:t>
      </w:r>
      <w:r w:rsidRPr="00C13ED9">
        <w:rPr>
          <w:rFonts w:ascii="David" w:hAnsi="David" w:hint="cs"/>
          <w:rtl/>
        </w:rPr>
        <w:t>בשנת 2012- הרשעה בעבירת שוד מזוין/בחבורה/באלימות</w:t>
      </w:r>
      <w:r w:rsidRPr="00C13ED9">
        <w:rPr>
          <w:rFonts w:ascii="David" w:hAnsi="David"/>
          <w:rtl/>
        </w:rPr>
        <w:t xml:space="preserve"> –</w:t>
      </w:r>
      <w:r w:rsidRPr="00C13ED9">
        <w:rPr>
          <w:rFonts w:ascii="David" w:hAnsi="David" w:hint="cs"/>
          <w:rtl/>
        </w:rPr>
        <w:t xml:space="preserve"> בגינה הוטלו על הנאשם 7 חודשי מאסר בפועל; בשנת 2013 </w:t>
      </w:r>
      <w:r w:rsidRPr="00C13ED9">
        <w:rPr>
          <w:rFonts w:ascii="David" w:hAnsi="David"/>
          <w:rtl/>
        </w:rPr>
        <w:t>–</w:t>
      </w:r>
      <w:r w:rsidRPr="00C13ED9">
        <w:rPr>
          <w:rFonts w:ascii="David" w:hAnsi="David" w:hint="cs"/>
          <w:rtl/>
        </w:rPr>
        <w:t xml:space="preserve"> הרשעה בעבירת יצוא, יבוא, מסחר והספקה של  סמים מסוכנים - בגינה הוטלו על הנאשם 7 חודשי מאסר בפועל; בשנת 2015 </w:t>
      </w:r>
      <w:r w:rsidRPr="00C13ED9">
        <w:rPr>
          <w:rFonts w:ascii="David" w:hAnsi="David"/>
          <w:rtl/>
        </w:rPr>
        <w:t>–</w:t>
      </w:r>
      <w:r w:rsidRPr="00C13ED9">
        <w:rPr>
          <w:rFonts w:ascii="David" w:hAnsi="David" w:hint="cs"/>
          <w:rtl/>
        </w:rPr>
        <w:t xml:space="preserve"> הרשעה בעבירות איומים, היזק לרכוש במזיד, תקיפה סתם</w:t>
      </w:r>
      <w:r w:rsidR="006F553B" w:rsidRPr="00C13ED9">
        <w:rPr>
          <w:rFonts w:ascii="David" w:hAnsi="David" w:hint="cs"/>
          <w:rtl/>
        </w:rPr>
        <w:t xml:space="preserve"> והחזקת אגרופן או סכין שלא כדין</w:t>
      </w:r>
      <w:r w:rsidRPr="00C13ED9">
        <w:rPr>
          <w:rFonts w:ascii="David" w:hAnsi="David"/>
          <w:rtl/>
        </w:rPr>
        <w:t>–</w:t>
      </w:r>
      <w:r w:rsidRPr="00C13ED9">
        <w:rPr>
          <w:rFonts w:ascii="David" w:hAnsi="David" w:hint="cs"/>
          <w:rtl/>
        </w:rPr>
        <w:t xml:space="preserve"> בגינן הוטלו על הנאשם 8 חודשי מאסר בפועל; בשנת 2015 </w:t>
      </w:r>
      <w:r w:rsidRPr="00C13ED9">
        <w:rPr>
          <w:rFonts w:ascii="David" w:hAnsi="David"/>
          <w:rtl/>
        </w:rPr>
        <w:t>–</w:t>
      </w:r>
      <w:r w:rsidRPr="00C13ED9">
        <w:rPr>
          <w:rFonts w:ascii="David" w:hAnsi="David" w:hint="cs"/>
          <w:rtl/>
        </w:rPr>
        <w:t xml:space="preserve"> עבירת רכישת/ החזקת חלק </w:t>
      </w:r>
      <w:r w:rsidR="006F553B" w:rsidRPr="00C13ED9">
        <w:rPr>
          <w:rFonts w:ascii="David" w:hAnsi="David" w:hint="cs"/>
          <w:rtl/>
        </w:rPr>
        <w:t>של נשק או תחמושת</w:t>
      </w:r>
      <w:r w:rsidRPr="00C13ED9">
        <w:rPr>
          <w:rFonts w:ascii="David" w:hAnsi="David"/>
          <w:rtl/>
        </w:rPr>
        <w:t>–</w:t>
      </w:r>
      <w:r w:rsidRPr="00C13ED9">
        <w:rPr>
          <w:rFonts w:ascii="David" w:hAnsi="David" w:hint="cs"/>
          <w:rtl/>
        </w:rPr>
        <w:t xml:space="preserve"> בגינה הוטל על הנאשם עונש מאסר מותנה ל-4 חודשים שלא יעבור על העבירה בה הורשע למשך שנתיים; ובשנת 2018 </w:t>
      </w:r>
      <w:r w:rsidRPr="00C13ED9">
        <w:rPr>
          <w:rFonts w:ascii="David" w:hAnsi="David"/>
          <w:rtl/>
        </w:rPr>
        <w:t>–</w:t>
      </w:r>
      <w:r w:rsidRPr="00C13ED9">
        <w:rPr>
          <w:rFonts w:ascii="David" w:hAnsi="David" w:hint="cs"/>
          <w:rtl/>
        </w:rPr>
        <w:t xml:space="preserve"> עבירת איומים - בגינה הוטלו על הנאשם 8 חודשי מאסר בפועל. </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b/>
          <w:bCs/>
          <w:u w:val="single"/>
          <w:rtl/>
        </w:rPr>
      </w:pPr>
      <w:r w:rsidRPr="00C13ED9">
        <w:rPr>
          <w:rFonts w:ascii="David" w:hAnsi="David"/>
          <w:b/>
          <w:bCs/>
          <w:u w:val="single"/>
          <w:rtl/>
        </w:rPr>
        <w:t>טיעוני הצדדים לעונש:</w:t>
      </w:r>
    </w:p>
    <w:p w:rsidR="006E1BCE" w:rsidRPr="00C13ED9" w:rsidRDefault="006E1BCE" w:rsidP="006F553B">
      <w:pPr>
        <w:spacing w:line="360" w:lineRule="auto"/>
        <w:ind w:left="-199"/>
        <w:jc w:val="both"/>
        <w:rPr>
          <w:rFonts w:ascii="David" w:hAnsi="David"/>
          <w:b/>
          <w:bCs/>
          <w:u w:val="single"/>
          <w:rtl/>
        </w:rPr>
      </w:pPr>
      <w:r w:rsidRPr="00C13ED9">
        <w:rPr>
          <w:rFonts w:ascii="David" w:hAnsi="David"/>
          <w:rtl/>
        </w:rPr>
        <w:t>המאשימה וההגנה לא חלקו על כך שלאור הרשעת הנאשם ב</w:t>
      </w:r>
      <w:r w:rsidRPr="00C13ED9">
        <w:rPr>
          <w:rFonts w:ascii="David" w:hAnsi="David" w:hint="cs"/>
          <w:rtl/>
        </w:rPr>
        <w:t xml:space="preserve">שתי </w:t>
      </w:r>
      <w:r w:rsidRPr="00C13ED9">
        <w:rPr>
          <w:rFonts w:ascii="David" w:hAnsi="David"/>
          <w:rtl/>
        </w:rPr>
        <w:t>עביר</w:t>
      </w:r>
      <w:r w:rsidRPr="00C13ED9">
        <w:rPr>
          <w:rFonts w:ascii="David" w:hAnsi="David" w:hint="cs"/>
          <w:rtl/>
        </w:rPr>
        <w:t>ו</w:t>
      </w:r>
      <w:r w:rsidRPr="00C13ED9">
        <w:rPr>
          <w:rFonts w:ascii="David" w:hAnsi="David"/>
          <w:rtl/>
        </w:rPr>
        <w:t>ת רצח בכוונה תחילה לפי סעיף 300(א)(2) לחוק העונשין</w:t>
      </w:r>
      <w:r w:rsidRPr="00C13ED9">
        <w:rPr>
          <w:rFonts w:ascii="David" w:hAnsi="David" w:hint="cs"/>
          <w:rtl/>
        </w:rPr>
        <w:t xml:space="preserve">, </w:t>
      </w:r>
      <w:r w:rsidRPr="00C13ED9">
        <w:rPr>
          <w:rFonts w:ascii="David" w:hAnsi="David"/>
          <w:rtl/>
        </w:rPr>
        <w:t xml:space="preserve">הרי שיש להשית עליו את העונש הקבוע בחוק שהוא </w:t>
      </w:r>
      <w:r w:rsidRPr="00C13ED9">
        <w:rPr>
          <w:rFonts w:ascii="David" w:hAnsi="David" w:hint="cs"/>
          <w:rtl/>
        </w:rPr>
        <w:t xml:space="preserve">שני </w:t>
      </w:r>
      <w:r w:rsidRPr="00C13ED9">
        <w:rPr>
          <w:rFonts w:ascii="David" w:hAnsi="David"/>
          <w:rtl/>
        </w:rPr>
        <w:t>מאסר</w:t>
      </w:r>
      <w:r w:rsidRPr="00C13ED9">
        <w:rPr>
          <w:rFonts w:ascii="David" w:hAnsi="David" w:hint="cs"/>
          <w:rtl/>
        </w:rPr>
        <w:t>י</w:t>
      </w:r>
      <w:r w:rsidRPr="00C13ED9">
        <w:rPr>
          <w:rFonts w:ascii="David" w:hAnsi="David"/>
          <w:rtl/>
        </w:rPr>
        <w:t xml:space="preserve"> עולם חובה. משכך, טיעוני הצדדים התמקדו רק </w:t>
      </w:r>
      <w:r w:rsidRPr="00C13ED9">
        <w:rPr>
          <w:rFonts w:ascii="David" w:hAnsi="David" w:hint="cs"/>
          <w:rtl/>
        </w:rPr>
        <w:t xml:space="preserve">בעבירה הנוספת </w:t>
      </w:r>
      <w:r w:rsidRPr="00C13ED9">
        <w:rPr>
          <w:rFonts w:ascii="David" w:hAnsi="David"/>
          <w:rtl/>
        </w:rPr>
        <w:t>–</w:t>
      </w:r>
      <w:r w:rsidRPr="00C13ED9">
        <w:rPr>
          <w:rFonts w:ascii="David" w:hAnsi="David" w:hint="cs"/>
          <w:rtl/>
        </w:rPr>
        <w:t xml:space="preserve"> של פציעה בנסיבות מחמירות - ו</w:t>
      </w:r>
      <w:r w:rsidRPr="00C13ED9">
        <w:rPr>
          <w:rFonts w:ascii="David" w:hAnsi="David"/>
          <w:rtl/>
        </w:rPr>
        <w:t>בפיצוי אשר יושת על הנאשם לטובת נפגע</w:t>
      </w:r>
      <w:r w:rsidRPr="00C13ED9">
        <w:rPr>
          <w:rFonts w:ascii="David" w:hAnsi="David" w:hint="cs"/>
          <w:rtl/>
        </w:rPr>
        <w:t>י</w:t>
      </w:r>
      <w:r w:rsidRPr="00C13ED9">
        <w:rPr>
          <w:rFonts w:ascii="David" w:hAnsi="David"/>
          <w:rtl/>
        </w:rPr>
        <w:t xml:space="preserve"> העבירה. </w:t>
      </w:r>
    </w:p>
    <w:p w:rsidR="006E1BCE" w:rsidRPr="00C13ED9" w:rsidRDefault="006E1BCE" w:rsidP="006F553B">
      <w:pPr>
        <w:spacing w:line="360" w:lineRule="auto"/>
        <w:ind w:left="-199"/>
        <w:jc w:val="both"/>
        <w:rPr>
          <w:rFonts w:ascii="David" w:hAnsi="David"/>
          <w:b/>
          <w:bCs/>
          <w:u w:val="single"/>
          <w:rtl/>
        </w:rPr>
      </w:pPr>
    </w:p>
    <w:p w:rsidR="006E1BCE" w:rsidRPr="00C13ED9" w:rsidRDefault="006E1BCE" w:rsidP="006F553B">
      <w:pPr>
        <w:spacing w:line="360" w:lineRule="auto"/>
        <w:ind w:left="-199"/>
        <w:jc w:val="both"/>
        <w:rPr>
          <w:rFonts w:ascii="David" w:hAnsi="David"/>
          <w:rtl/>
        </w:rPr>
      </w:pPr>
      <w:r w:rsidRPr="00C13ED9">
        <w:rPr>
          <w:rFonts w:ascii="David" w:hAnsi="David" w:hint="cs"/>
          <w:b/>
          <w:bCs/>
          <w:u w:val="single"/>
          <w:rtl/>
        </w:rPr>
        <w:t>טיעון התביעה לעונש</w:t>
      </w:r>
      <w:r w:rsidRPr="00C13ED9">
        <w:rPr>
          <w:rFonts w:ascii="David" w:hAnsi="David" w:hint="cs"/>
          <w:rtl/>
        </w:rPr>
        <w:t xml:space="preserve"> </w:t>
      </w:r>
      <w:r w:rsidRPr="00C13ED9">
        <w:rPr>
          <w:rFonts w:ascii="David" w:hAnsi="David"/>
          <w:rtl/>
        </w:rPr>
        <w:t xml:space="preserve">– </w:t>
      </w:r>
      <w:r w:rsidRPr="00C13ED9">
        <w:rPr>
          <w:rFonts w:ascii="David" w:hAnsi="David" w:hint="cs"/>
          <w:rtl/>
        </w:rPr>
        <w:t xml:space="preserve">לטענת </w:t>
      </w:r>
      <w:r w:rsidRPr="00C13ED9">
        <w:rPr>
          <w:rFonts w:ascii="David" w:hAnsi="David"/>
          <w:rtl/>
        </w:rPr>
        <w:t>המאשימה</w:t>
      </w:r>
      <w:r w:rsidRPr="00C13ED9">
        <w:rPr>
          <w:rFonts w:ascii="David" w:hAnsi="David" w:hint="cs"/>
          <w:rtl/>
        </w:rPr>
        <w:t>,</w:t>
      </w:r>
      <w:r w:rsidRPr="00C13ED9">
        <w:rPr>
          <w:rFonts w:ascii="David" w:hAnsi="David"/>
          <w:rtl/>
        </w:rPr>
        <w:t xml:space="preserve"> </w:t>
      </w:r>
      <w:r w:rsidRPr="00C13ED9">
        <w:rPr>
          <w:rFonts w:ascii="David" w:hAnsi="David" w:hint="cs"/>
          <w:rtl/>
        </w:rPr>
        <w:t xml:space="preserve">במקרה שלפנינו מדובר בנסיבות מיוחדות של פציעה בנסיבות מחמירות, הן במימד הנורמטיבי, הנושא כפל חומרה משמדובר בפגיעה גם בקטין ז.מ. ובשימוש בנשק קר, והן בממד העובדתי, של מי שביצע את העבירה מתוך אדישות ותכנון ומול מודעות לפוטנציאל הפגיעה בקורבן. לפיכך, התבקש בית המשפט לקבוע מתחם ענישה שנע בין שלוש לחמש שנים. עוד התבקש בית המשפט, לאור החומרה שתוארה לעיל, למקם את הנאשם ברף העליון ולהשית עליו עונש של חמש שנות מאסר. כמו כן, טענה המאשימה כי יש לקבוע כי מדובר בעבירה מובחנת ומצטברת מעבירות הרצח בהן הורשע הנאשם. זאת ראשית הואיל ופציעת ז.מ. נושאת עמה יסודות עובדתיים מובחנים מעבירות הרצח. נוסף על כך הואיל והמבחן המוסרי מחייב לא רק להבחין ולצבור עבירה זו מכוח העיקרון ההלימה, אלא גם כמסר תגמולי לפיו ידע מי שיבחר לבצע עבירה מסוג זה, כי החברה תבוא עמו חשבון מצטבר בגין כל נזק נוסף </w:t>
      </w:r>
      <w:r w:rsidRPr="00C13ED9">
        <w:rPr>
          <w:rFonts w:ascii="David" w:hAnsi="David" w:hint="cs"/>
          <w:rtl/>
        </w:rPr>
        <w:lastRenderedPageBreak/>
        <w:t>לערכים מקודשים, דוגמת פגיעה פיזית בקטינים, אשר התרחשו במהלך השגת כוונתו הרצחנית של הנאשם. לאור זאת נטען כי נסיבות המקרה, עיקרון ההלימה ועיקרון התגמול מחייבים כי העונש שיוטל בגין עבירת הפציעה, יוטל במצטבר ובמובחן מעבירות הרצח.</w:t>
      </w:r>
    </w:p>
    <w:p w:rsidR="006E1BCE" w:rsidRPr="00C13ED9" w:rsidRDefault="006E1BCE" w:rsidP="006F553B">
      <w:pPr>
        <w:spacing w:line="360" w:lineRule="auto"/>
        <w:ind w:left="-199"/>
        <w:jc w:val="both"/>
        <w:rPr>
          <w:rFonts w:ascii="David" w:hAnsi="David"/>
          <w:rtl/>
        </w:rPr>
      </w:pPr>
      <w:r w:rsidRPr="00C13ED9">
        <w:rPr>
          <w:rFonts w:ascii="David" w:hAnsi="David" w:hint="cs"/>
          <w:rtl/>
        </w:rPr>
        <w:t xml:space="preserve">כמו כן, טענה המאשימה, כי יש </w:t>
      </w:r>
      <w:r w:rsidRPr="00C13ED9">
        <w:rPr>
          <w:rFonts w:ascii="David" w:hAnsi="David"/>
          <w:rtl/>
        </w:rPr>
        <w:t xml:space="preserve">להשית על הנאשם את הפיצוי המקסימלי הקבוע בחוק בסכום של 258,000 </w:t>
      </w:r>
      <w:r w:rsidRPr="00C13ED9">
        <w:rPr>
          <w:rFonts w:ascii="David" w:hAnsi="David" w:hint="cs"/>
          <w:rtl/>
        </w:rPr>
        <w:t>₪ לכל אחד מבניהן של המנוחות</w:t>
      </w:r>
      <w:r w:rsidRPr="00C13ED9">
        <w:rPr>
          <w:rFonts w:ascii="David" w:hAnsi="David"/>
          <w:rtl/>
        </w:rPr>
        <w:t xml:space="preserve">. </w:t>
      </w:r>
      <w:r w:rsidRPr="00C13ED9">
        <w:rPr>
          <w:rFonts w:ascii="David" w:hAnsi="David" w:hint="cs"/>
          <w:rtl/>
        </w:rPr>
        <w:t xml:space="preserve">אשר לכך, </w:t>
      </w:r>
      <w:r w:rsidRPr="00C13ED9">
        <w:rPr>
          <w:rFonts w:ascii="David" w:hAnsi="David"/>
          <w:rtl/>
        </w:rPr>
        <w:t>נטען כי</w:t>
      </w:r>
      <w:r w:rsidRPr="00C13ED9">
        <w:rPr>
          <w:rFonts w:ascii="David" w:hAnsi="David" w:hint="cs"/>
          <w:rtl/>
        </w:rPr>
        <w:t xml:space="preserve"> אמנם מן המפורסמות הוא כי פיצוי כספי אינו יכול להשיב אובדן של בני משפחה ואין בו כדי להקל על הסבל והכאב המלווים את המשפחות יום יום. ויחד עם זאת, יש מקום לפסוק פיצוי אשר תכליתו לתת למשפחות שיפוי ולו חלקי</w:t>
      </w:r>
      <w:r w:rsidRPr="00C13ED9">
        <w:rPr>
          <w:rFonts w:ascii="David" w:hAnsi="David"/>
          <w:rtl/>
        </w:rPr>
        <w:t xml:space="preserve"> </w:t>
      </w:r>
      <w:r w:rsidRPr="00C13ED9">
        <w:rPr>
          <w:rFonts w:ascii="David" w:hAnsi="David" w:hint="cs"/>
          <w:rtl/>
        </w:rPr>
        <w:t xml:space="preserve">על ההוצאות שנגרמו וייגרמו להם, על אובדן התמיכה הכלכלית ועל הסבל שהם חווים. המאשימה ציינה כי היא ערה להתייחסות לסוגיית הפיצוי בתסקיר (כפי שתפורט להלן), אולם לעמדתה, השתת מלוא הסכום והעמדתו לרשות בניהן של המנוחות, יהא בהן מזור גם לדאגה העיקרית אשר הובעה על ידי אמן ואחיהן של המנוחות, שהיא הדאגה לקטינים. </w:t>
      </w:r>
      <w:r w:rsidRPr="00C13ED9">
        <w:rPr>
          <w:rFonts w:ascii="David" w:hAnsi="David"/>
          <w:rtl/>
        </w:rPr>
        <w:t>עוד הפנתה המאשימה לכך ש</w:t>
      </w:r>
      <w:r w:rsidRPr="00C13ED9">
        <w:rPr>
          <w:rFonts w:ascii="David" w:hAnsi="David" w:hint="cs"/>
          <w:rtl/>
        </w:rPr>
        <w:t xml:space="preserve">ראשית, הוראת הסעיף לעניין הפיצוי, בניגוד לקנס, אינה מתחשבת במצבו הכלכלי של הנאשם, ושנית, כי נקודת המבט בפיצוי מופנית לקורבן ולא לנאשם וכי יכולתו של הנאשם לשלם אינה מהווה שיקול בקביעה זו. </w:t>
      </w:r>
    </w:p>
    <w:p w:rsidR="006E1BCE" w:rsidRPr="00C13ED9" w:rsidRDefault="006E1BCE" w:rsidP="006F553B">
      <w:pPr>
        <w:spacing w:line="360" w:lineRule="auto"/>
        <w:ind w:left="-199"/>
        <w:jc w:val="both"/>
        <w:rPr>
          <w:rFonts w:ascii="David" w:hAnsi="David"/>
          <w:rtl/>
        </w:rPr>
      </w:pPr>
      <w:r w:rsidRPr="00C13ED9">
        <w:rPr>
          <w:rFonts w:ascii="David" w:hAnsi="David" w:hint="cs"/>
          <w:rtl/>
        </w:rPr>
        <w:t>אשר על כן, עתרה המאשימה להשית על הנאשם שני מאסרי עולם חובה מצטברים, ונוסף על כך עונש של חמש שנות מאסר בגין פציעת הקטין, אשר ירוצה במצטבר לעונשי מאסר העולם. כמו כן, עתרה המאשימה להשית על הנאשם פיצויים מקסימליים לטובת עתידם של בניהן של המנוחות אותן הוא רצח.</w:t>
      </w:r>
    </w:p>
    <w:p w:rsidR="006E1BCE" w:rsidRPr="00C13ED9" w:rsidRDefault="006E1BCE" w:rsidP="006F553B">
      <w:pPr>
        <w:spacing w:line="360" w:lineRule="auto"/>
        <w:ind w:left="-199"/>
        <w:jc w:val="both"/>
        <w:rPr>
          <w:rFonts w:ascii="David" w:hAnsi="David"/>
          <w:rtl/>
        </w:rPr>
      </w:pPr>
      <w:r w:rsidRPr="00C13ED9">
        <w:rPr>
          <w:rFonts w:ascii="David" w:hAnsi="David" w:hint="cs"/>
          <w:rtl/>
        </w:rPr>
        <w:t xml:space="preserve">במאמר מוסגר אציין כי נוסף על טיעונה על-פה, הגישה המאשימה לעיון בית המשפט 2 קלסרי פסיקה, אשר במרביתה נסבה על מדיניות הענישה בגין עבירת הרצח (ענישה אשר כאמור בהקשר אליה אין מחלוקת בין הצדדים). </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rtl/>
        </w:rPr>
      </w:pPr>
      <w:r w:rsidRPr="00C13ED9">
        <w:rPr>
          <w:rFonts w:ascii="David" w:hAnsi="David" w:hint="cs"/>
          <w:b/>
          <w:bCs/>
          <w:u w:val="single"/>
          <w:rtl/>
        </w:rPr>
        <w:t>טיעון ההגנה לעונש</w:t>
      </w:r>
      <w:r w:rsidRPr="00C13ED9">
        <w:rPr>
          <w:rFonts w:ascii="David" w:hAnsi="David" w:hint="cs"/>
          <w:rtl/>
        </w:rPr>
        <w:t xml:space="preserve"> </w:t>
      </w:r>
      <w:r w:rsidRPr="00C13ED9">
        <w:rPr>
          <w:rFonts w:ascii="David" w:hAnsi="David"/>
          <w:rtl/>
        </w:rPr>
        <w:t>–</w:t>
      </w:r>
      <w:r w:rsidRPr="00C13ED9">
        <w:rPr>
          <w:rFonts w:ascii="David" w:hAnsi="David" w:hint="cs"/>
          <w:rtl/>
        </w:rPr>
        <w:t xml:space="preserve"> לטענת ההגנה, העבירה הנוספת הנסבה על פציעתו של הקטין ז.מ., היא עבירה שלא הייתה כוונה לבצעה ואשר התרחשה באופן אגבי לעבירות העיקריות שבוצעו, אשר לגביהן נקבע כי היה תכנון וכוונה. לאור זאת, נטען כי דרישת התביעה להשית על הנאשם בגין עבירה זו את העונש המרבי העומד על חמש שנות מאסר בפועל היא דרישה קיצונית. בהקשר לכך, מפנה ההגנה לכך שמדובר בנאשם צעיר מאוד, שעומד להיגזר עליו עונש כבד ביותר, בגין שני מעשי רצח ונטען כי צריך להתחשב בכך. ודוקו - ההגנה לא טענה לעניין מתחם הענישה, באשר לעבירה זו ואולם, טענה כי בכל מקרה, לאחר שייקבע מתחם ענישה בגין עבירה זו, הרי שיש לחפוף את העונש שיושת על הנאשם בגינה לעונשי מאסרי העולם, אשר יושתו על הנאשם בגין עבירות הרצח בהן הורשע.</w:t>
      </w:r>
    </w:p>
    <w:p w:rsidR="003B0863" w:rsidRPr="00C13ED9" w:rsidRDefault="006E1BCE" w:rsidP="003B0863">
      <w:pPr>
        <w:spacing w:line="360" w:lineRule="auto"/>
        <w:ind w:left="-199"/>
        <w:jc w:val="both"/>
        <w:rPr>
          <w:rFonts w:ascii="David" w:hAnsi="David"/>
          <w:b/>
          <w:bCs/>
          <w:u w:val="single"/>
          <w:rtl/>
        </w:rPr>
      </w:pPr>
      <w:r w:rsidRPr="00C13ED9">
        <w:rPr>
          <w:rFonts w:ascii="David" w:hAnsi="David" w:hint="cs"/>
          <w:rtl/>
        </w:rPr>
        <w:lastRenderedPageBreak/>
        <w:t>לעניין הפיצוי, טוענת ההגנה כי היא מבינה את האינטרס לדאוג לעתיד הקטינים, שהם נפגעי העבירה, ואולם לטענתה, לאור זאת, יש לעשות חשבון היכן קיים סיכוי שאותם קטינים יקבלו סכומי כסף שיעזרו להם להתמודד עם הפגיעה. יצויין כי ה</w:t>
      </w:r>
      <w:r w:rsidRPr="00C13ED9">
        <w:rPr>
          <w:rFonts w:ascii="David" w:hAnsi="David"/>
          <w:rtl/>
        </w:rPr>
        <w:t>הגנה</w:t>
      </w:r>
      <w:r w:rsidRPr="00C13ED9">
        <w:rPr>
          <w:rFonts w:ascii="David" w:hAnsi="David" w:hint="cs"/>
          <w:rtl/>
        </w:rPr>
        <w:t xml:space="preserve"> טענה </w:t>
      </w:r>
      <w:r w:rsidRPr="00C13ED9">
        <w:rPr>
          <w:rFonts w:ascii="David" w:hAnsi="David"/>
          <w:rtl/>
        </w:rPr>
        <w:t xml:space="preserve"> כי </w:t>
      </w:r>
      <w:r w:rsidRPr="00C13ED9">
        <w:rPr>
          <w:rFonts w:ascii="David" w:hAnsi="David" w:hint="cs"/>
          <w:rtl/>
        </w:rPr>
        <w:t xml:space="preserve">אמנם </w:t>
      </w:r>
      <w:r w:rsidRPr="00C13ED9">
        <w:rPr>
          <w:rFonts w:ascii="David" w:hAnsi="David"/>
          <w:rtl/>
        </w:rPr>
        <w:t>במסגרת הפסיקה נקבע שמצבו הכלכלי של הנאשם אינו משנה לעניין הפיצוי</w:t>
      </w:r>
      <w:r w:rsidRPr="00C13ED9">
        <w:rPr>
          <w:rFonts w:ascii="David" w:hAnsi="David" w:hint="cs"/>
          <w:rtl/>
        </w:rPr>
        <w:t xml:space="preserve"> ואולם </w:t>
      </w:r>
      <w:r w:rsidRPr="00C13ED9">
        <w:rPr>
          <w:rFonts w:ascii="David" w:hAnsi="David"/>
          <w:rtl/>
        </w:rPr>
        <w:t>יחד עם זאת</w:t>
      </w:r>
      <w:r w:rsidRPr="00C13ED9">
        <w:rPr>
          <w:rFonts w:ascii="David" w:hAnsi="David" w:hint="cs"/>
          <w:rtl/>
        </w:rPr>
        <w:t xml:space="preserve"> טענה כי י</w:t>
      </w:r>
      <w:r w:rsidRPr="00C13ED9">
        <w:rPr>
          <w:rFonts w:ascii="David" w:hAnsi="David"/>
          <w:rtl/>
        </w:rPr>
        <w:t xml:space="preserve">ש להשית פיצוי בו יוכל לעמוד הנאשם. </w:t>
      </w:r>
      <w:r w:rsidRPr="00C13ED9">
        <w:rPr>
          <w:rFonts w:ascii="David" w:hAnsi="David" w:hint="cs"/>
          <w:rtl/>
        </w:rPr>
        <w:t>אשר כך, טענה ההגנה כי לו יפסק פיצוי הגיוני של כמה עשרות אלפי שקלים לכל קטין, יוכל הנאשם להתחיל לעבוד במקום מעצרו ולהתחיל להפריש תשלומים מהכסף המיועד שירוויח, וכך יקבלו הקטינים סכומי כסף כלשהם. נטען כי ככל שתחת זאת, תתקבל בקשת המאשימה לבקשת הפיצוי, הרי שרוב הסיכויים שסכומי כסף לא יגיעו אל הקטינים כלל. יתרה מכך, ההגנה הזכירה כי ממילא בפני הקטינים תעמוד תמיד האפשרות לתבוע את מלוא נזקיהם באופנים אחרים שלא שייכים להליך זה</w:t>
      </w:r>
      <w:r w:rsidRPr="00C13ED9">
        <w:rPr>
          <w:rFonts w:ascii="David" w:hAnsi="David"/>
          <w:rtl/>
        </w:rPr>
        <w:t>. כיוון שכך עתרה ההגנה לפיצוי מידתי במובן הכלכלי</w:t>
      </w:r>
      <w:r w:rsidRPr="00C13ED9">
        <w:rPr>
          <w:rFonts w:ascii="David" w:hAnsi="David" w:hint="cs"/>
          <w:rtl/>
        </w:rPr>
        <w:t>,</w:t>
      </w:r>
      <w:r w:rsidRPr="00C13ED9">
        <w:rPr>
          <w:rFonts w:ascii="David" w:hAnsi="David"/>
          <w:rtl/>
        </w:rPr>
        <w:t xml:space="preserve"> על מנת שהנאשם יוכל לעמוד בו. </w:t>
      </w:r>
    </w:p>
    <w:p w:rsidR="006E1BCE" w:rsidRPr="00C13ED9" w:rsidRDefault="006E1BCE" w:rsidP="003B0863">
      <w:pPr>
        <w:spacing w:line="360" w:lineRule="auto"/>
        <w:ind w:left="-199"/>
        <w:jc w:val="both"/>
        <w:rPr>
          <w:rFonts w:ascii="David" w:hAnsi="David"/>
          <w:b/>
          <w:bCs/>
          <w:u w:val="single"/>
          <w:rtl/>
        </w:rPr>
      </w:pPr>
      <w:r w:rsidRPr="00C13ED9">
        <w:rPr>
          <w:rFonts w:ascii="David" w:hAnsi="David"/>
          <w:b/>
          <w:bCs/>
          <w:rtl/>
        </w:rPr>
        <w:t>הנאשם בדברו האחרון</w:t>
      </w:r>
      <w:r w:rsidRPr="00C13ED9">
        <w:rPr>
          <w:rFonts w:ascii="David" w:hAnsi="David"/>
          <w:rtl/>
        </w:rPr>
        <w:t xml:space="preserve"> – אמר שאין לו מה </w:t>
      </w:r>
      <w:r w:rsidRPr="00C13ED9">
        <w:rPr>
          <w:rFonts w:ascii="David" w:hAnsi="David" w:hint="cs"/>
          <w:rtl/>
        </w:rPr>
        <w:t>להוסיף על דברי הסנגור</w:t>
      </w:r>
      <w:r w:rsidRPr="00C13ED9">
        <w:rPr>
          <w:rFonts w:ascii="David" w:hAnsi="David"/>
          <w:rtl/>
        </w:rPr>
        <w:t xml:space="preserve">. </w:t>
      </w:r>
    </w:p>
    <w:p w:rsidR="006E1BCE" w:rsidRPr="00C13ED9" w:rsidRDefault="006E1BCE" w:rsidP="006F553B">
      <w:pPr>
        <w:spacing w:line="360" w:lineRule="auto"/>
        <w:ind w:left="-199"/>
        <w:rPr>
          <w:rFonts w:ascii="David" w:hAnsi="David"/>
          <w:rtl/>
        </w:rPr>
      </w:pPr>
    </w:p>
    <w:p w:rsidR="006E1BCE" w:rsidRPr="00C13ED9" w:rsidRDefault="006E1BCE" w:rsidP="006F553B">
      <w:pPr>
        <w:spacing w:line="360" w:lineRule="auto"/>
        <w:ind w:left="-199"/>
        <w:rPr>
          <w:rFonts w:ascii="David" w:hAnsi="David"/>
          <w:rtl/>
        </w:rPr>
      </w:pPr>
      <w:r w:rsidRPr="00C13ED9">
        <w:rPr>
          <w:rFonts w:ascii="David" w:hAnsi="David" w:hint="cs"/>
          <w:rtl/>
        </w:rPr>
        <w:t>ההגנה לא הגישה כל פסיקה מטעמה.</w:t>
      </w:r>
    </w:p>
    <w:p w:rsidR="006E1BCE" w:rsidRPr="00C13ED9" w:rsidRDefault="006E1BCE" w:rsidP="006F553B">
      <w:pPr>
        <w:spacing w:line="360" w:lineRule="auto"/>
        <w:ind w:left="-199"/>
        <w:jc w:val="both"/>
        <w:rPr>
          <w:rFonts w:ascii="David" w:hAnsi="David"/>
          <w:b/>
          <w:bCs/>
          <w:u w:val="single"/>
          <w:rtl/>
        </w:rPr>
      </w:pPr>
    </w:p>
    <w:p w:rsidR="006E1BCE" w:rsidRPr="00C13ED9" w:rsidRDefault="006E1BCE" w:rsidP="006F553B">
      <w:pPr>
        <w:spacing w:line="360" w:lineRule="auto"/>
        <w:ind w:left="-199"/>
        <w:jc w:val="both"/>
        <w:rPr>
          <w:rFonts w:ascii="David" w:hAnsi="David"/>
          <w:b/>
          <w:bCs/>
          <w:u w:val="single"/>
          <w:rtl/>
        </w:rPr>
      </w:pPr>
      <w:r w:rsidRPr="00C13ED9">
        <w:rPr>
          <w:rFonts w:ascii="David" w:hAnsi="David" w:hint="cs"/>
          <w:b/>
          <w:bCs/>
          <w:u w:val="single"/>
          <w:rtl/>
        </w:rPr>
        <w:t>תסקיר שירות המבחן</w:t>
      </w:r>
    </w:p>
    <w:p w:rsidR="006E1BCE" w:rsidRPr="00C13ED9" w:rsidRDefault="006E1BCE" w:rsidP="006F553B">
      <w:pPr>
        <w:spacing w:line="360" w:lineRule="auto"/>
        <w:ind w:left="-199"/>
        <w:jc w:val="both"/>
        <w:rPr>
          <w:rFonts w:ascii="David" w:hAnsi="David"/>
          <w:rtl/>
        </w:rPr>
      </w:pPr>
      <w:r w:rsidRPr="00C13ED9">
        <w:rPr>
          <w:rFonts w:ascii="David" w:hAnsi="David" w:hint="cs"/>
          <w:rtl/>
        </w:rPr>
        <w:t xml:space="preserve">התסקיר מבוסס על שיחה שקיים שירות המבחן עם אמן של המנוחות, ש', ועם אחיהן, אשר היה כבן 17 בעת הרצח. יצוין, כי שני אחים נוספים של המנוחות לא הגיעו למפגש עם שירות המבחן ומסרו בהמשך כי אינם מעוניינים שיוגש תסקיר נפגע אודותיהם. </w:t>
      </w:r>
    </w:p>
    <w:p w:rsidR="006E1BCE" w:rsidRPr="00C13ED9" w:rsidRDefault="006E1BCE" w:rsidP="006F553B">
      <w:pPr>
        <w:spacing w:line="360" w:lineRule="auto"/>
        <w:ind w:left="-199"/>
        <w:jc w:val="both"/>
        <w:rPr>
          <w:rFonts w:ascii="David" w:hAnsi="David"/>
          <w:rtl/>
        </w:rPr>
      </w:pPr>
      <w:r w:rsidRPr="00C13ED9">
        <w:rPr>
          <w:rFonts w:ascii="David" w:hAnsi="David" w:hint="cs"/>
          <w:rtl/>
        </w:rPr>
        <w:t xml:space="preserve">בתמצית, שירות המבחן התרשם כי גם כיום, על אף השנים שחלפו מאז מותן האכזרי והאלים של המנוחות, אמן ואחיהן מתקשים להכיל את האובדן המטלטל ולהתמודד עם נסיבות מותן הסתמיות של המנוחות, עם היעדרן מחייהם, עם סופיות מותן של המנוחות, המעוררים באם ובאח תחושות קשות מנשוא של כאב צער ומצוקה, שהותירו את המשפחה שסועה. צוין כי לצד חווית ההלם והקושי, גם בחלוף השנים, מתמודדים האם והאח עם תחושות אשמה קשות על שלא זיהו את הסכנה ופעלו להגן על המנוחות מפניה. התרשמות שירות המבחן היא כי בהתמודדות עם הכאב והצער הכרוניים, שמעוררים מעשי הרצח והאובדן הקשה, מנסים האם והאח למצוא משמעות בקשר עם בניהן של המנוחות, כדרך להשיב חוויה, ולו חלקית, של שליטה וחוסן נפשי למול הטרגדיה שהתרחשה </w:t>
      </w:r>
      <w:r w:rsidRPr="00C13ED9">
        <w:rPr>
          <w:rFonts w:ascii="David" w:hAnsi="David" w:hint="cs"/>
          <w:rtl/>
        </w:rPr>
        <w:lastRenderedPageBreak/>
        <w:t>בביתם והותירה אותם חסרי אונים. לאור תמונת הנזקים הקשה והצורך המשמעותי שלהם בהכרה של בית המשפט ושל הנאשם עצמו בחומרת הפגיעה והאובדן הבלתי הפיך שגרם להם, סבור שירות המבחן כי ראוי שיינתן פיצוי כספי לאח ולאם, בין יתר רכיבי הענישה.</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rtl/>
        </w:rPr>
      </w:pPr>
      <w:r w:rsidRPr="00C13ED9">
        <w:rPr>
          <w:rFonts w:ascii="David" w:hAnsi="David" w:hint="cs"/>
          <w:rtl/>
        </w:rPr>
        <w:t xml:space="preserve">שירות המבחן הוסיף וציין כי היה בכוונתו להגיש תסקיר נפרד בנוגע לילדיהן הקטינים של המנוחות. אלא, שבהודעת שירות המבחן מיום 23/10/23, הודיע שירות המבחן כי בסופו של דבר לא יוגש תסקיר נפרד בעניינם של הקטינים. זאת לאחר שניסיונות לתאם מועד לשם עריכתו עם אביו של הקטין א.ח (בנה של נורית), העלו חרס. </w:t>
      </w:r>
    </w:p>
    <w:p w:rsidR="006E1BCE" w:rsidRPr="00C13ED9" w:rsidRDefault="006E1BCE" w:rsidP="006F553B">
      <w:pPr>
        <w:spacing w:line="360" w:lineRule="auto"/>
        <w:ind w:left="-199"/>
        <w:jc w:val="both"/>
        <w:rPr>
          <w:rFonts w:ascii="David" w:hAnsi="David"/>
          <w:b/>
          <w:bCs/>
          <w:sz w:val="28"/>
          <w:szCs w:val="28"/>
          <w:u w:val="single"/>
          <w:rtl/>
        </w:rPr>
      </w:pPr>
    </w:p>
    <w:p w:rsidR="006E1BCE" w:rsidRPr="00C13ED9" w:rsidRDefault="006E1BCE" w:rsidP="006F553B">
      <w:pPr>
        <w:spacing w:line="360" w:lineRule="auto"/>
        <w:ind w:left="-199"/>
        <w:jc w:val="both"/>
        <w:rPr>
          <w:rFonts w:ascii="David" w:hAnsi="David"/>
          <w:b/>
          <w:bCs/>
          <w:sz w:val="28"/>
          <w:szCs w:val="28"/>
          <w:u w:val="single"/>
          <w:rtl/>
        </w:rPr>
      </w:pPr>
      <w:r w:rsidRPr="00C13ED9">
        <w:rPr>
          <w:rFonts w:ascii="David" w:hAnsi="David"/>
          <w:b/>
          <w:bCs/>
          <w:sz w:val="28"/>
          <w:szCs w:val="28"/>
          <w:u w:val="single"/>
          <w:rtl/>
        </w:rPr>
        <w:t>דיון וגזירת העונש:</w:t>
      </w:r>
    </w:p>
    <w:p w:rsidR="006E1BCE" w:rsidRPr="00C13ED9" w:rsidRDefault="006E1BCE" w:rsidP="006F553B">
      <w:pPr>
        <w:spacing w:line="360" w:lineRule="auto"/>
        <w:ind w:left="-199"/>
        <w:jc w:val="both"/>
        <w:rPr>
          <w:rFonts w:ascii="David" w:hAnsi="David"/>
          <w:sz w:val="28"/>
          <w:szCs w:val="28"/>
          <w:u w:val="single"/>
          <w:rtl/>
        </w:rPr>
      </w:pPr>
      <w:r w:rsidRPr="00C13ED9">
        <w:rPr>
          <w:rFonts w:ascii="David" w:hAnsi="David" w:hint="cs"/>
          <w:rtl/>
        </w:rPr>
        <w:t xml:space="preserve">אפתח ואציין כי בענייננו, אין מחלוקת בין הצדדים, כי יש לראות בעבירות בהן הורשע הנאשם בגדר "אירוע" אחד </w:t>
      </w:r>
      <w:r w:rsidRPr="00C13ED9">
        <w:rPr>
          <w:rFonts w:ascii="David" w:hAnsi="David"/>
          <w:rtl/>
        </w:rPr>
        <w:t>–</w:t>
      </w:r>
      <w:r w:rsidRPr="00C13ED9">
        <w:rPr>
          <w:rFonts w:ascii="David" w:hAnsi="David" w:hint="cs"/>
          <w:rtl/>
        </w:rPr>
        <w:t xml:space="preserve"> שהתרחש באותו מועד, בדירה אחת, ונכלל באישום אחד, אף שבפועל כלל אירוע זה שלושה מעשים כלפי שלושה קורבנות שונים </w:t>
      </w:r>
      <w:r w:rsidRPr="00C13ED9">
        <w:rPr>
          <w:rFonts w:ascii="David" w:hAnsi="David"/>
          <w:rtl/>
        </w:rPr>
        <w:t>–</w:t>
      </w:r>
      <w:r w:rsidRPr="00C13ED9">
        <w:rPr>
          <w:rFonts w:ascii="David" w:hAnsi="David" w:hint="cs"/>
          <w:rtl/>
        </w:rPr>
        <w:t xml:space="preserve"> שני מעשי רצח, של המנוחות </w:t>
      </w:r>
      <w:r w:rsidRPr="00C13ED9">
        <w:rPr>
          <w:rFonts w:ascii="David" w:hAnsi="David"/>
          <w:rtl/>
        </w:rPr>
        <w:t>–</w:t>
      </w:r>
      <w:r w:rsidRPr="00C13ED9">
        <w:rPr>
          <w:rFonts w:ascii="David" w:hAnsi="David" w:hint="cs"/>
          <w:rtl/>
        </w:rPr>
        <w:t xml:space="preserve"> חאית ז"ל ונורית ז"ל וכן פציעתו בנסיבות מחמירות של ז.מ </w:t>
      </w:r>
      <w:r w:rsidRPr="00C13ED9">
        <w:rPr>
          <w:rFonts w:ascii="David" w:hAnsi="David"/>
          <w:rtl/>
        </w:rPr>
        <w:t>–</w:t>
      </w:r>
      <w:r w:rsidRPr="00C13ED9">
        <w:rPr>
          <w:rFonts w:ascii="David" w:hAnsi="David" w:hint="cs"/>
          <w:rtl/>
        </w:rPr>
        <w:t xml:space="preserve"> שיש ביניהן קשר הדוק. </w:t>
      </w:r>
      <w:r w:rsidRPr="00C13ED9">
        <w:rPr>
          <w:rFonts w:hint="cs"/>
          <w:rtl/>
        </w:rPr>
        <w:t xml:space="preserve">משכך, יש לראותם כ"אירוע" אחד במובנו של תיקון 113 לחוק, הכולל מספר מעשים כלפי קורבנות שונים (ראו פסקאות 6-7 לפסק דינה של כב' השופטת ד' ברק-ארז ב-ע"פ 4910/13 </w:t>
      </w:r>
      <w:r w:rsidRPr="00C13ED9">
        <w:rPr>
          <w:rFonts w:ascii="Miriam" w:hAnsi="Miriam" w:cs="Miriam"/>
          <w:rtl/>
        </w:rPr>
        <w:t>ג'אבר נ' מדינת ישראל</w:t>
      </w:r>
      <w:r w:rsidRPr="00C13ED9">
        <w:rPr>
          <w:rFonts w:hint="cs"/>
          <w:rtl/>
        </w:rPr>
        <w:t xml:space="preserve"> (‏29.10.2014); דנ"פ 2999/16 </w:t>
      </w:r>
      <w:r w:rsidRPr="00C13ED9">
        <w:rPr>
          <w:rFonts w:ascii="Miriam" w:hAnsi="Miriam" w:cs="Miriam"/>
          <w:rtl/>
        </w:rPr>
        <w:t>מזרחי נ' מדינת ישראל</w:t>
      </w:r>
      <w:r w:rsidRPr="00C13ED9">
        <w:rPr>
          <w:rFonts w:hint="cs"/>
          <w:rtl/>
        </w:rPr>
        <w:t xml:space="preserve"> (‏22.5.2016)). </w:t>
      </w:r>
    </w:p>
    <w:p w:rsidR="006E1BCE" w:rsidRPr="00C13ED9" w:rsidRDefault="006E1BCE" w:rsidP="006F553B">
      <w:pPr>
        <w:spacing w:line="360" w:lineRule="auto"/>
        <w:ind w:left="-199"/>
        <w:jc w:val="both"/>
        <w:rPr>
          <w:rFonts w:ascii="David" w:hAnsi="David"/>
          <w:rtl/>
        </w:rPr>
      </w:pPr>
      <w:r w:rsidRPr="00C13ED9">
        <w:rPr>
          <w:rFonts w:ascii="David" w:hAnsi="David" w:hint="cs"/>
          <w:rtl/>
        </w:rPr>
        <w:t xml:space="preserve">בהתאם לדין, </w:t>
      </w:r>
      <w:r w:rsidRPr="00C13ED9">
        <w:rPr>
          <w:rFonts w:ascii="David" w:hAnsi="David"/>
          <w:rtl/>
        </w:rPr>
        <w:t>העיקרון המנחה בעניש</w:t>
      </w:r>
      <w:r w:rsidRPr="00C13ED9">
        <w:rPr>
          <w:rFonts w:ascii="David" w:hAnsi="David" w:hint="cs"/>
          <w:rtl/>
        </w:rPr>
        <w:t>ת הנאשם בגין העבירות בהן הורשע, הוא</w:t>
      </w:r>
      <w:r w:rsidRPr="00C13ED9">
        <w:rPr>
          <w:rFonts w:ascii="David" w:hAnsi="David"/>
          <w:rtl/>
        </w:rPr>
        <w:t xml:space="preserve"> עקרון ההלימה</w:t>
      </w:r>
      <w:r w:rsidRPr="00C13ED9">
        <w:rPr>
          <w:rFonts w:ascii="David" w:hAnsi="David" w:hint="cs"/>
          <w:rtl/>
        </w:rPr>
        <w:t xml:space="preserve"> ובלשון החוק:</w:t>
      </w:r>
      <w:r w:rsidRPr="00C13ED9">
        <w:rPr>
          <w:rFonts w:ascii="David" w:hAnsi="David"/>
          <w:rtl/>
        </w:rPr>
        <w:t xml:space="preserve"> "</w:t>
      </w:r>
      <w:r w:rsidRPr="00C13ED9">
        <w:rPr>
          <w:rFonts w:ascii="Miriam" w:hAnsi="Miriam" w:cs="Miriam"/>
          <w:rtl/>
        </w:rPr>
        <w:t>קיומו של יחס הולם בין חומרת מעשה העבירה בנסיבותיו ומידת אשמו של הנאשם ובין סוג ומידת העונש המוטל עליו</w:t>
      </w:r>
      <w:r w:rsidRPr="00C13ED9">
        <w:rPr>
          <w:rFonts w:ascii="David" w:hAnsi="David"/>
          <w:rtl/>
        </w:rPr>
        <w:t>" (סעיף 40ב לחוק העונשין).</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rtl/>
        </w:rPr>
      </w:pPr>
      <w:r w:rsidRPr="00C13ED9">
        <w:rPr>
          <w:rFonts w:ascii="David" w:hAnsi="David" w:hint="cs"/>
          <w:b/>
          <w:bCs/>
          <w:u w:val="single"/>
          <w:rtl/>
        </w:rPr>
        <w:t>שתי עבירות - רצח בכוונה תחילה</w:t>
      </w:r>
      <w:r w:rsidRPr="00C13ED9">
        <w:rPr>
          <w:rFonts w:ascii="David" w:hAnsi="David" w:hint="cs"/>
          <w:rtl/>
        </w:rPr>
        <w:t>:</w:t>
      </w:r>
    </w:p>
    <w:p w:rsidR="006E1BCE" w:rsidRPr="00C13ED9" w:rsidRDefault="006E1BCE" w:rsidP="006F553B">
      <w:pPr>
        <w:spacing w:line="360" w:lineRule="auto"/>
        <w:ind w:left="-199"/>
        <w:jc w:val="both"/>
        <w:rPr>
          <w:rFonts w:ascii="David" w:hAnsi="David"/>
          <w:b/>
          <w:bCs/>
          <w:sz w:val="28"/>
          <w:szCs w:val="28"/>
          <w:u w:val="single"/>
          <w:rtl/>
        </w:rPr>
      </w:pPr>
      <w:r w:rsidRPr="00C13ED9">
        <w:rPr>
          <w:rFonts w:ascii="David" w:hAnsi="David" w:hint="cs"/>
          <w:rtl/>
        </w:rPr>
        <w:t xml:space="preserve">הנאשם הורשע כאמור </w:t>
      </w:r>
      <w:r w:rsidRPr="00C13ED9">
        <w:rPr>
          <w:rFonts w:ascii="David" w:hAnsi="David"/>
          <w:rtl/>
        </w:rPr>
        <w:t>ב</w:t>
      </w:r>
      <w:r w:rsidRPr="00C13ED9">
        <w:rPr>
          <w:rFonts w:ascii="David" w:hAnsi="David" w:hint="cs"/>
          <w:rtl/>
        </w:rPr>
        <w:t xml:space="preserve">שתי </w:t>
      </w:r>
      <w:r w:rsidRPr="00C13ED9">
        <w:rPr>
          <w:rFonts w:ascii="David" w:hAnsi="David"/>
          <w:rtl/>
        </w:rPr>
        <w:t>עביר</w:t>
      </w:r>
      <w:r w:rsidRPr="00C13ED9">
        <w:rPr>
          <w:rFonts w:ascii="David" w:hAnsi="David" w:hint="cs"/>
          <w:rtl/>
        </w:rPr>
        <w:t>ו</w:t>
      </w:r>
      <w:r w:rsidRPr="00C13ED9">
        <w:rPr>
          <w:rFonts w:ascii="David" w:hAnsi="David"/>
          <w:rtl/>
        </w:rPr>
        <w:t xml:space="preserve">ת </w:t>
      </w:r>
      <w:r w:rsidRPr="00C13ED9">
        <w:rPr>
          <w:rFonts w:ascii="David" w:hAnsi="David" w:hint="cs"/>
          <w:rtl/>
        </w:rPr>
        <w:t xml:space="preserve">של </w:t>
      </w:r>
      <w:r w:rsidRPr="00C13ED9">
        <w:rPr>
          <w:rFonts w:ascii="David" w:hAnsi="David"/>
          <w:rtl/>
        </w:rPr>
        <w:t xml:space="preserve">רצח בכוונה תחילה, לפי סעיף 300(א)(2) לחוק העונשין, משכך, כמצוות המחוקק, יוטל על הנאשם עונש </w:t>
      </w:r>
      <w:r w:rsidRPr="00C13ED9">
        <w:rPr>
          <w:rFonts w:ascii="David" w:hAnsi="David" w:hint="cs"/>
          <w:rtl/>
        </w:rPr>
        <w:t xml:space="preserve">של שני </w:t>
      </w:r>
      <w:r w:rsidRPr="00C13ED9">
        <w:rPr>
          <w:rFonts w:ascii="David" w:hAnsi="David"/>
          <w:rtl/>
        </w:rPr>
        <w:t>מאסר</w:t>
      </w:r>
      <w:r w:rsidRPr="00C13ED9">
        <w:rPr>
          <w:rFonts w:ascii="David" w:hAnsi="David" w:hint="cs"/>
          <w:rtl/>
        </w:rPr>
        <w:t>י</w:t>
      </w:r>
      <w:r w:rsidRPr="00C13ED9">
        <w:rPr>
          <w:rFonts w:ascii="David" w:hAnsi="David"/>
          <w:rtl/>
        </w:rPr>
        <w:t xml:space="preserve"> עולם חובה.</w:t>
      </w:r>
    </w:p>
    <w:p w:rsidR="006E1BCE" w:rsidRPr="00C13ED9" w:rsidRDefault="004E5A42" w:rsidP="006F553B">
      <w:pPr>
        <w:spacing w:line="360" w:lineRule="auto"/>
        <w:ind w:left="-199"/>
        <w:jc w:val="both"/>
        <w:rPr>
          <w:rFonts w:ascii="David" w:hAnsi="David"/>
          <w:rtl/>
        </w:rPr>
      </w:pPr>
      <w:r w:rsidRPr="00C13ED9">
        <w:rPr>
          <w:rFonts w:ascii="David" w:hAnsi="David" w:hint="cs"/>
          <w:rtl/>
        </w:rPr>
        <w:lastRenderedPageBreak/>
        <w:t xml:space="preserve">אשר </w:t>
      </w:r>
      <w:r w:rsidR="006E1BCE" w:rsidRPr="00C13ED9">
        <w:rPr>
          <w:rFonts w:ascii="David" w:hAnsi="David" w:hint="cs"/>
          <w:rtl/>
        </w:rPr>
        <w:t xml:space="preserve">לשאלת מובחנותן של עבירות הרצח ולצבירתן, אקדים הכרעתי להנמקתי - מקובלת עליי </w:t>
      </w:r>
      <w:r w:rsidR="00A34BAA">
        <w:rPr>
          <w:rFonts w:ascii="David" w:hAnsi="David" w:hint="cs"/>
          <w:rtl/>
        </w:rPr>
        <w:t>עמדת המאשימה</w:t>
      </w:r>
      <w:r w:rsidR="006E1BCE" w:rsidRPr="00C13ED9">
        <w:rPr>
          <w:rFonts w:ascii="David" w:hAnsi="David" w:hint="cs"/>
          <w:rtl/>
        </w:rPr>
        <w:t>, באשר למדיניות הראויה לפיה יש להטיל עונש נפרד ומצטבר בגין כל אחת מהעבירות, קרי להטיל על הנאשם שני מאסרי עולם חובה במצטבר.</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rtl/>
        </w:rPr>
      </w:pPr>
      <w:r w:rsidRPr="00C13ED9">
        <w:rPr>
          <w:rFonts w:ascii="David" w:hAnsi="David" w:hint="cs"/>
          <w:rtl/>
        </w:rPr>
        <w:t xml:space="preserve">אשר לכך, עבירת הרצח היא מן החמורות שבספר החוקים, אשר פוגעת בקדושת חיי האדם, המהווה ערך עליון בחברתנו. כך, נקבע זה מכבר, כי חשיבותו של ערך חיי האדם וסלידתנו העמוקה ממעשים הפוגעים בו חייבים לבוא לידי ביטוי הן במסגרת גזירת העונש, הן לעניין מספר העונשים שיש לגזור על הנאשם והן לעניין הצטברותם. בע"פ 1742/91 </w:t>
      </w:r>
      <w:r w:rsidRPr="00C13ED9">
        <w:rPr>
          <w:rFonts w:ascii="Miriam" w:hAnsi="Miriam" w:cs="Miriam"/>
          <w:rtl/>
        </w:rPr>
        <w:t>פופר נ' מדינת ישראל</w:t>
      </w:r>
      <w:r w:rsidRPr="00C13ED9">
        <w:rPr>
          <w:rFonts w:ascii="David" w:hAnsi="David" w:hint="cs"/>
          <w:rtl/>
        </w:rPr>
        <w:t xml:space="preserve"> (4/12/97) (להלן: </w:t>
      </w:r>
      <w:r w:rsidRPr="00C13ED9">
        <w:rPr>
          <w:rFonts w:ascii="David" w:hAnsi="David" w:hint="cs"/>
          <w:b/>
          <w:bCs/>
          <w:rtl/>
        </w:rPr>
        <w:t>"עניין פופר"</w:t>
      </w:r>
      <w:r w:rsidRPr="00C13ED9">
        <w:rPr>
          <w:rFonts w:ascii="David" w:hAnsi="David" w:hint="cs"/>
          <w:rtl/>
        </w:rPr>
        <w:t xml:space="preserve">), קבעה כבוד השופטת דורנר כי: </w:t>
      </w:r>
    </w:p>
    <w:p w:rsidR="006E1BCE" w:rsidRPr="00C13ED9" w:rsidRDefault="006E1BCE" w:rsidP="006F553B">
      <w:pPr>
        <w:spacing w:line="360" w:lineRule="auto"/>
        <w:ind w:left="-199"/>
        <w:jc w:val="both"/>
        <w:rPr>
          <w:rFonts w:ascii="Miriam" w:hAnsi="Miriam" w:cs="Miriam"/>
          <w:rtl/>
        </w:rPr>
      </w:pPr>
      <w:r w:rsidRPr="00C13ED9">
        <w:rPr>
          <w:rFonts w:ascii="David" w:hAnsi="David" w:hint="cs"/>
          <w:rtl/>
        </w:rPr>
        <w:t>"</w:t>
      </w:r>
      <w:r w:rsidRPr="00C13ED9">
        <w:rPr>
          <w:rFonts w:ascii="Miriam" w:hAnsi="Miriam" w:cs="Miriam"/>
          <w:rtl/>
        </w:rPr>
        <w:t>אף כי מעשה רצח של אדם בודד הוא כשלעצמו מעשה נפשע וחמור מאין כמותו, גזירה של אותו עונש על מי שרצח אדם אחד ועל מי שרצח רבים עלולה להתפרש כהחלשה של משמעות ערך חיי האדם, ואף עלולה לפגוע במידת ההרתעה. שכן, מה יעצור רוצח מלהרבות את קורבנותיו אם בגין הקורבנות הנוספים הוא לא יהיה צפוי לכל תוספת עונש?"</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rtl/>
        </w:rPr>
      </w:pPr>
      <w:r w:rsidRPr="00C13ED9">
        <w:rPr>
          <w:rFonts w:ascii="David" w:hAnsi="David" w:hint="cs"/>
          <w:rtl/>
        </w:rPr>
        <w:t xml:space="preserve">יפים לכך, אף דברי כבוד השופט חשין </w:t>
      </w:r>
      <w:r w:rsidRPr="00C13ED9">
        <w:rPr>
          <w:rFonts w:ascii="Miriam" w:hAnsi="Miriam" w:cs="Miriam"/>
          <w:rtl/>
        </w:rPr>
        <w:t>בעניין פופר</w:t>
      </w:r>
      <w:r w:rsidRPr="00C13ED9">
        <w:rPr>
          <w:rFonts w:ascii="David" w:hAnsi="David" w:hint="cs"/>
          <w:rtl/>
        </w:rPr>
        <w:t xml:space="preserve"> ולפיהם:</w:t>
      </w:r>
    </w:p>
    <w:p w:rsidR="006E1BCE" w:rsidRPr="00C13ED9" w:rsidRDefault="006E1BCE" w:rsidP="006F553B">
      <w:pPr>
        <w:spacing w:line="360" w:lineRule="auto"/>
        <w:ind w:left="-199"/>
        <w:rPr>
          <w:rFonts w:ascii="Miriam" w:hAnsi="Miriam" w:cs="Miriam"/>
          <w:rtl/>
        </w:rPr>
      </w:pPr>
      <w:r w:rsidRPr="00C13ED9">
        <w:rPr>
          <w:rFonts w:ascii="Miriam" w:hAnsi="Miriam" w:cs="Miriam"/>
          <w:rtl/>
        </w:rPr>
        <w:t>אדם – כל אדם – הוא עולם לעצמו. אדם – כל אדם – הוא אחד, יחיד ומיוחד. ואין אדם כאדם. מי שהיה לא עוד יהיה ומי שהלך לא ישוב. וכבר לימדנו הרמב"ם על ייחודו של האדם (רמב"ם, שופטים, סנהדרין, יב, ג [א]):</w:t>
      </w:r>
    </w:p>
    <w:p w:rsidR="006E1BCE" w:rsidRPr="00C13ED9" w:rsidRDefault="006E1BCE" w:rsidP="006F553B">
      <w:pPr>
        <w:spacing w:line="360" w:lineRule="auto"/>
        <w:ind w:left="-199"/>
        <w:jc w:val="both"/>
        <w:rPr>
          <w:rFonts w:ascii="Miriam" w:hAnsi="Miriam" w:cs="Miriam"/>
          <w:rtl/>
        </w:rPr>
      </w:pPr>
      <w:r w:rsidRPr="00C13ED9">
        <w:rPr>
          <w:rFonts w:ascii="Miriam" w:hAnsi="Miriam" w:cs="Miriam"/>
          <w:rtl/>
        </w:rPr>
        <w:t>"נברא אדם יחידי בעולם, ללמד: שכל המאבד נפש אחת מן העולם – מעלין עליו כאילו איבד עולם מלא, וכל המקיים נפש אחת בעולם – מעלין עליו כאילו קיים עולם מלא. הרי כל-באי עולם בצורת אדם הראשון הם נבראים ואין פני כל-אחד מהם דומין לפני חברו. לפיכך כל-אחד ואחד יכול לומר: בשבילי נברא העולם"."</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rtl/>
        </w:rPr>
      </w:pPr>
      <w:r w:rsidRPr="00C13ED9">
        <w:rPr>
          <w:rFonts w:ascii="David" w:hAnsi="David" w:hint="cs"/>
          <w:rtl/>
        </w:rPr>
        <w:t>וכן דברי הנשיא שמגר (כתוארו דאז) ב</w:t>
      </w:r>
      <w:r w:rsidRPr="00C13ED9">
        <w:rPr>
          <w:rFonts w:ascii="David" w:hAnsi="David"/>
          <w:rtl/>
        </w:rPr>
        <w:t>ע</w:t>
      </w:r>
      <w:r w:rsidRPr="00C13ED9">
        <w:rPr>
          <w:rFonts w:ascii="David" w:hAnsi="David" w:hint="cs"/>
          <w:rtl/>
        </w:rPr>
        <w:t>"</w:t>
      </w:r>
      <w:r w:rsidRPr="00C13ED9">
        <w:rPr>
          <w:rFonts w:ascii="David" w:hAnsi="David"/>
          <w:rtl/>
        </w:rPr>
        <w:t>פ  399/89</w:t>
      </w:r>
      <w:r w:rsidRPr="00C13ED9">
        <w:rPr>
          <w:rFonts w:ascii="David" w:hAnsi="David" w:hint="cs"/>
          <w:rtl/>
        </w:rPr>
        <w:t xml:space="preserve"> </w:t>
      </w:r>
      <w:r w:rsidRPr="00C13ED9">
        <w:rPr>
          <w:rFonts w:ascii="Miriam" w:hAnsi="Miriam" w:cs="Miriam"/>
          <w:rtl/>
        </w:rPr>
        <w:t>מדינת ישראל נ' נידאל בן עבד אלרזאק זלום</w:t>
      </w:r>
      <w:r w:rsidRPr="00C13ED9">
        <w:rPr>
          <w:rFonts w:ascii="David" w:hAnsi="David" w:hint="cs"/>
          <w:rtl/>
        </w:rPr>
        <w:t xml:space="preserve"> (</w:t>
      </w:r>
      <w:r w:rsidRPr="00C13ED9">
        <w:rPr>
          <w:rFonts w:ascii="David" w:hAnsi="David"/>
          <w:rtl/>
        </w:rPr>
        <w:t>פ"מ מו(2) 187</w:t>
      </w:r>
      <w:r w:rsidRPr="00C13ED9">
        <w:rPr>
          <w:rFonts w:ascii="David" w:hAnsi="David" w:hint="cs"/>
          <w:rtl/>
        </w:rPr>
        <w:t>):</w:t>
      </w:r>
    </w:p>
    <w:p w:rsidR="006E1BCE" w:rsidRPr="00C13ED9" w:rsidRDefault="006E1BCE" w:rsidP="006F553B">
      <w:pPr>
        <w:spacing w:line="360" w:lineRule="auto"/>
        <w:ind w:left="-199"/>
        <w:jc w:val="both"/>
        <w:rPr>
          <w:rFonts w:ascii="Miriam" w:hAnsi="Miriam" w:cs="Miriam"/>
          <w:rtl/>
        </w:rPr>
      </w:pPr>
      <w:r w:rsidRPr="00C13ED9">
        <w:rPr>
          <w:rFonts w:ascii="David" w:hAnsi="David" w:hint="cs"/>
          <w:rtl/>
        </w:rPr>
        <w:lastRenderedPageBreak/>
        <w:t>"</w:t>
      </w:r>
      <w:r w:rsidRPr="00C13ED9">
        <w:rPr>
          <w:rFonts w:ascii="Miriam" w:hAnsi="Miriam" w:cs="Miriam"/>
          <w:rtl/>
        </w:rPr>
        <w:t>כל הרשעה בעבירה נפרדת עומדת על רגליה שלה. ומעבר לכך: קיפוח חייו של אדם מן הראוי והנכון שימצא ביטוי מפורש, מזוהה ונפרד בצעדים העונשיים. גזירת עונשי מאסר חופפים על מספר מעשי רצח - אף אם מדובר בכאלה שבוצעו ברצף אחד ¬יש בה מכללא משום מיזעור של הזוועה שבגרם המוות הזדוני והמכוון של שורה של אנשים. קיומו של נוהג הקציבה של עונש מאסר עולם חובה מחדד, כמובן, את תחושת אי ההתאמה שבין מספר רציחות לבין עונש חופף אחד."</w:t>
      </w:r>
    </w:p>
    <w:p w:rsidR="006E1BCE" w:rsidRPr="00C13ED9" w:rsidRDefault="006E1BCE" w:rsidP="006F553B">
      <w:pPr>
        <w:spacing w:line="360" w:lineRule="auto"/>
        <w:ind w:left="-199"/>
        <w:jc w:val="both"/>
        <w:rPr>
          <w:rFonts w:ascii="David" w:hAnsi="David"/>
          <w:b/>
          <w:bCs/>
          <w:sz w:val="28"/>
          <w:szCs w:val="28"/>
          <w:u w:val="single"/>
          <w:rtl/>
        </w:rPr>
      </w:pPr>
    </w:p>
    <w:p w:rsidR="006E1BCE" w:rsidRPr="00C13ED9" w:rsidRDefault="006E1BCE" w:rsidP="006F553B">
      <w:pPr>
        <w:spacing w:line="360" w:lineRule="auto"/>
        <w:ind w:left="-199"/>
        <w:jc w:val="both"/>
        <w:rPr>
          <w:rFonts w:ascii="David" w:hAnsi="David"/>
          <w:rtl/>
        </w:rPr>
      </w:pPr>
      <w:r w:rsidRPr="00C13ED9">
        <w:rPr>
          <w:rFonts w:ascii="David" w:hAnsi="David" w:hint="cs"/>
          <w:b/>
          <w:bCs/>
          <w:u w:val="single"/>
          <w:rtl/>
        </w:rPr>
        <w:t>פציעה בנסיבות מחמירות</w:t>
      </w:r>
      <w:r w:rsidRPr="00C13ED9">
        <w:rPr>
          <w:rFonts w:ascii="David" w:hAnsi="David" w:hint="cs"/>
          <w:rtl/>
        </w:rPr>
        <w:t>:</w:t>
      </w:r>
    </w:p>
    <w:p w:rsidR="006E1BCE" w:rsidRPr="00C13ED9" w:rsidRDefault="006E1BCE" w:rsidP="006F553B">
      <w:pPr>
        <w:spacing w:line="360" w:lineRule="auto"/>
        <w:ind w:left="-199"/>
        <w:jc w:val="both"/>
        <w:rPr>
          <w:rFonts w:ascii="David" w:hAnsi="David"/>
          <w:b/>
          <w:bCs/>
          <w:sz w:val="28"/>
          <w:szCs w:val="28"/>
          <w:u w:val="single"/>
          <w:rtl/>
        </w:rPr>
      </w:pPr>
      <w:r w:rsidRPr="00C13ED9">
        <w:rPr>
          <w:rFonts w:ascii="David" w:hAnsi="David" w:hint="cs"/>
          <w:rtl/>
        </w:rPr>
        <w:t xml:space="preserve">נוסף על כך, הורשע הנאשם בעבירת פציעה בנסיבות מחמירות. כפי שפורט לעיל, הצדדים חלוקים על העונש אשר יש להשית על הנאשם בגין עבירה זו ובמיוחד בשאלה האם יש להשיתו באופן מצטבר או חופף. לאור זאת, אכריע ראשית בסוגיית העונש הראוי אשר יש להטיל על הנאשם בגין עבירה זו </w:t>
      </w:r>
      <w:r w:rsidRPr="00C13ED9">
        <w:rPr>
          <w:rFonts w:ascii="David" w:hAnsi="David"/>
          <w:rtl/>
        </w:rPr>
        <w:t>–</w:t>
      </w:r>
      <w:r w:rsidRPr="00C13ED9">
        <w:rPr>
          <w:rFonts w:ascii="David" w:hAnsi="David" w:hint="cs"/>
          <w:rtl/>
        </w:rPr>
        <w:t xml:space="preserve"> זאת ראשית תוך קביעת מתחם הענישה ולאחר מכן תוך מיקום העונש לנאשם בתוך מתחם זה, ולאחר מכן אפנה לבחון האם יש לצבור עונש זה או לחפוף אותו כולו או חלקו, לעונש שני מאסרי העולם חובה שיוטל על הנאשם. </w:t>
      </w:r>
    </w:p>
    <w:p w:rsidR="004E5A42" w:rsidRPr="00C13ED9" w:rsidRDefault="004E5A42" w:rsidP="006F553B">
      <w:pPr>
        <w:spacing w:line="360" w:lineRule="auto"/>
        <w:ind w:left="-199"/>
        <w:jc w:val="both"/>
        <w:rPr>
          <w:rFonts w:ascii="David" w:hAnsi="David"/>
          <w:b/>
          <w:bCs/>
          <w:sz w:val="28"/>
          <w:szCs w:val="28"/>
          <w:u w:val="single"/>
          <w:rtl/>
        </w:rPr>
      </w:pPr>
    </w:p>
    <w:p w:rsidR="006E1BCE" w:rsidRPr="00C13ED9" w:rsidRDefault="006E1BCE" w:rsidP="006F553B">
      <w:pPr>
        <w:spacing w:line="360" w:lineRule="auto"/>
        <w:ind w:left="-199"/>
        <w:jc w:val="both"/>
        <w:rPr>
          <w:rFonts w:ascii="David" w:hAnsi="David"/>
          <w:sz w:val="28"/>
          <w:szCs w:val="28"/>
          <w:rtl/>
        </w:rPr>
      </w:pPr>
      <w:r w:rsidRPr="00C13ED9">
        <w:rPr>
          <w:rFonts w:ascii="David" w:hAnsi="David" w:hint="cs"/>
          <w:b/>
          <w:bCs/>
          <w:sz w:val="28"/>
          <w:szCs w:val="28"/>
          <w:u w:val="single"/>
          <w:rtl/>
        </w:rPr>
        <w:t>קביעת מתחם העונש ההולם</w:t>
      </w:r>
      <w:r w:rsidRPr="00C13ED9">
        <w:rPr>
          <w:rFonts w:ascii="David" w:hAnsi="David" w:hint="cs"/>
          <w:sz w:val="28"/>
          <w:szCs w:val="28"/>
          <w:rtl/>
        </w:rPr>
        <w:t>:</w:t>
      </w:r>
    </w:p>
    <w:p w:rsidR="006E1BCE" w:rsidRPr="00C13ED9" w:rsidRDefault="006E1BCE" w:rsidP="006F553B">
      <w:pPr>
        <w:spacing w:line="360" w:lineRule="auto"/>
        <w:ind w:left="-199"/>
        <w:jc w:val="both"/>
        <w:rPr>
          <w:rFonts w:ascii="David" w:hAnsi="David"/>
          <w:rtl/>
        </w:rPr>
      </w:pPr>
      <w:r w:rsidRPr="00C13ED9">
        <w:rPr>
          <w:rFonts w:ascii="David" w:hAnsi="David"/>
          <w:rtl/>
        </w:rPr>
        <w:t xml:space="preserve">מתחם עונש לעבירת הפציעה בנסיבות מחמירות שביצע הנאשם, </w:t>
      </w:r>
      <w:r w:rsidRPr="00C13ED9">
        <w:rPr>
          <w:rFonts w:ascii="David" w:hAnsi="David" w:hint="cs"/>
          <w:rtl/>
        </w:rPr>
        <w:t xml:space="preserve">יקבע להלן </w:t>
      </w:r>
      <w:r w:rsidRPr="00C13ED9">
        <w:rPr>
          <w:rFonts w:ascii="David" w:hAnsi="David"/>
          <w:rtl/>
        </w:rPr>
        <w:t>בהתאם לעיקרון המנחה בענישה– ההלימה, ובהתחשב בערכים החברתיים שנפגעו מביצוע העבירה, במידת הפגיעה בהם, במדיניות הענישה הנהוגה ובנסיבות הקשורות בביצוע העבירה [סעיפים 40ב, 40ג, 40ט, 40יג לחוק העונשין].</w:t>
      </w:r>
    </w:p>
    <w:p w:rsidR="006E1BCE" w:rsidRPr="00C13ED9" w:rsidRDefault="006E1BCE" w:rsidP="006F553B">
      <w:pPr>
        <w:spacing w:line="360" w:lineRule="auto"/>
        <w:ind w:left="-199"/>
        <w:jc w:val="both"/>
        <w:rPr>
          <w:rFonts w:ascii="David" w:hAnsi="David"/>
          <w:b/>
          <w:bCs/>
          <w:rtl/>
        </w:rPr>
      </w:pPr>
    </w:p>
    <w:p w:rsidR="006E1BCE" w:rsidRPr="00C13ED9" w:rsidRDefault="006E1BCE" w:rsidP="006F553B">
      <w:pPr>
        <w:spacing w:line="360" w:lineRule="auto"/>
        <w:ind w:left="-199"/>
        <w:jc w:val="both"/>
        <w:rPr>
          <w:rFonts w:ascii="David" w:hAnsi="David"/>
          <w:rtl/>
        </w:rPr>
      </w:pPr>
      <w:r w:rsidRPr="00C13ED9">
        <w:rPr>
          <w:rFonts w:ascii="David" w:hAnsi="David" w:hint="cs"/>
          <w:b/>
          <w:bCs/>
          <w:u w:val="single"/>
          <w:rtl/>
        </w:rPr>
        <w:t>הערכים החברתיים שנפגעו מביצוע עבירת הפציעה בנסיבות מחמירות שביצע הנאשם</w:t>
      </w:r>
      <w:r w:rsidRPr="00C13ED9">
        <w:rPr>
          <w:rFonts w:ascii="David" w:hAnsi="David" w:hint="cs"/>
          <w:rtl/>
        </w:rPr>
        <w:t xml:space="preserve">: </w:t>
      </w:r>
    </w:p>
    <w:p w:rsidR="006E1BCE" w:rsidRPr="00C13ED9" w:rsidRDefault="006E1BCE" w:rsidP="006F553B">
      <w:pPr>
        <w:spacing w:line="360" w:lineRule="auto"/>
        <w:ind w:left="-199"/>
        <w:jc w:val="both"/>
        <w:rPr>
          <w:rFonts w:ascii="David" w:hAnsi="David"/>
          <w:sz w:val="28"/>
          <w:szCs w:val="28"/>
          <w:rtl/>
        </w:rPr>
      </w:pPr>
      <w:r w:rsidRPr="00C13ED9">
        <w:rPr>
          <w:rFonts w:ascii="David" w:hAnsi="David" w:hint="cs"/>
          <w:rtl/>
        </w:rPr>
        <w:t xml:space="preserve">התכלית העומדת בבסיס הענישה על ביצוע עבירת הפציעה בנסיבות מחמירות היא ההגנה על כבוד האדם, שמירה על שלמות גופו של אדם, בטחונו, והגנה מפני פגיעה זו, זכותו של נפגע העבירה להיות משוחרר מפגיעה וכן הגנה על שלום הציבור ובטחונו.   </w:t>
      </w:r>
    </w:p>
    <w:p w:rsidR="006E1BCE" w:rsidRPr="00C13ED9" w:rsidRDefault="006E1BCE" w:rsidP="006F553B">
      <w:pPr>
        <w:spacing w:line="360" w:lineRule="auto"/>
        <w:ind w:left="-199"/>
        <w:jc w:val="both"/>
        <w:rPr>
          <w:rFonts w:ascii="David" w:hAnsi="David"/>
          <w:rtl/>
        </w:rPr>
      </w:pPr>
      <w:r w:rsidRPr="00C13ED9">
        <w:rPr>
          <w:rFonts w:ascii="David" w:hAnsi="David" w:hint="cs"/>
          <w:rtl/>
        </w:rPr>
        <w:lastRenderedPageBreak/>
        <w:t>לעניין זה, קבע בית המשפט העליון במספר פרשות כי:</w:t>
      </w:r>
    </w:p>
    <w:p w:rsidR="006E1BCE" w:rsidRPr="00C13ED9" w:rsidRDefault="006E1BCE" w:rsidP="006F553B">
      <w:pPr>
        <w:spacing w:line="360" w:lineRule="auto"/>
        <w:ind w:left="-199"/>
        <w:jc w:val="both"/>
        <w:rPr>
          <w:rFonts w:ascii="Miriam" w:hAnsi="Miriam" w:cs="Miriam"/>
          <w:rtl/>
        </w:rPr>
      </w:pPr>
      <w:r w:rsidRPr="00C13ED9">
        <w:rPr>
          <w:rFonts w:ascii="Miriam" w:hAnsi="Miriam" w:cs="Miriam"/>
          <w:rtl/>
        </w:rPr>
        <w:t xml:space="preserve">"קיים אינטרס ציבורי מובהק וחד משמעי בהרתעת היחיד והרתעת הרבים מפני נקיטה בדרך של כוח ואלימות ליישוב מחלוקות וסכסוכים תוך שימוש בנשק קר. המסר שצריך לצאת מבית משפט זה הוא שחברה מתוקנת אינה יכולה להשלים עם שימוש בסכין לשם פתרון מחלוקות וסכסוכים. יש לשוב ולהדגיש כי זכותו של כל אדם לחיים ולשלמות הגוף היא זכות יסוד מקודשת ואין להתיר לאיש לפגוע בזכות זו. יש להלחם באלימות שפשטה בחברה הישראלית על כל צורותיה וגווניה, אם בתוך המשפחה ואם מחוצה לה, אם בקרב בני נוער ואם בקרב מבוגרים. זהו נגע רע שיש לבערו מן היסוד. לפיכך, שעה שנגע האלימות והפרת החוק פושה בחברתנו מן הראוי שידע כל איש ותדע כל אישה כי אם יבחרו בדרך האלימות ייטו בתי המשפט להשית עליהם עונשי מאסר מאחורי סורג ובריח"  </w:t>
      </w:r>
    </w:p>
    <w:p w:rsidR="006E1BCE" w:rsidRPr="00C13ED9" w:rsidRDefault="006E1BCE" w:rsidP="006F553B">
      <w:pPr>
        <w:spacing w:line="360" w:lineRule="auto"/>
        <w:ind w:left="-199"/>
        <w:jc w:val="both"/>
        <w:rPr>
          <w:rFonts w:ascii="David" w:hAnsi="David"/>
          <w:rtl/>
        </w:rPr>
      </w:pPr>
      <w:r w:rsidRPr="00C13ED9">
        <w:rPr>
          <w:rFonts w:ascii="David" w:hAnsi="David"/>
          <w:rtl/>
        </w:rPr>
        <w:t>(</w:t>
      </w:r>
      <w:r w:rsidRPr="00C13ED9">
        <w:rPr>
          <w:rFonts w:ascii="David" w:hAnsi="David" w:hint="cs"/>
          <w:rtl/>
        </w:rPr>
        <w:t>ע</w:t>
      </w:r>
      <w:r w:rsidRPr="00C13ED9">
        <w:rPr>
          <w:rFonts w:ascii="David" w:hAnsi="David"/>
          <w:rtl/>
        </w:rPr>
        <w:t xml:space="preserve">"פ 3863/09 </w:t>
      </w:r>
      <w:r w:rsidRPr="00C13ED9">
        <w:rPr>
          <w:rFonts w:ascii="Miriam" w:hAnsi="Miriam" w:cs="Miriam"/>
          <w:rtl/>
        </w:rPr>
        <w:t>מדינת ישראל נ' חסן</w:t>
      </w:r>
      <w:r w:rsidRPr="00C13ED9">
        <w:rPr>
          <w:rFonts w:ascii="David" w:hAnsi="David"/>
          <w:rtl/>
        </w:rPr>
        <w:t>,</w:t>
      </w:r>
      <w:r w:rsidRPr="00C13ED9">
        <w:rPr>
          <w:rFonts w:ascii="David" w:hAnsi="David" w:hint="cs"/>
          <w:rtl/>
        </w:rPr>
        <w:t xml:space="preserve"> (10.11.2009)</w:t>
      </w:r>
      <w:r w:rsidRPr="00C13ED9">
        <w:rPr>
          <w:rFonts w:ascii="David" w:hAnsi="David"/>
          <w:rtl/>
        </w:rPr>
        <w:t xml:space="preserve"> בפסקה 21</w:t>
      </w:r>
      <w:r w:rsidRPr="00C13ED9">
        <w:rPr>
          <w:rFonts w:ascii="David" w:hAnsi="David" w:hint="cs"/>
          <w:rtl/>
        </w:rPr>
        <w:t>; ע</w:t>
      </w:r>
      <w:r w:rsidRPr="00C13ED9">
        <w:rPr>
          <w:rFonts w:ascii="David" w:hAnsi="David"/>
          <w:rtl/>
        </w:rPr>
        <w:t>"פ 3498/19</w:t>
      </w:r>
      <w:r w:rsidRPr="00C13ED9">
        <w:rPr>
          <w:rFonts w:ascii="David" w:hAnsi="David" w:hint="cs"/>
          <w:rtl/>
        </w:rPr>
        <w:t xml:space="preserve"> </w:t>
      </w:r>
      <w:r w:rsidRPr="00C13ED9">
        <w:rPr>
          <w:rFonts w:ascii="Miriam" w:hAnsi="Miriam" w:cs="Miriam"/>
          <w:rtl/>
        </w:rPr>
        <w:t>זרבאילוב נ' מדינת ישראל</w:t>
      </w:r>
      <w:r w:rsidRPr="00C13ED9">
        <w:rPr>
          <w:rFonts w:ascii="David" w:hAnsi="David" w:hint="cs"/>
          <w:b/>
          <w:bCs/>
          <w:rtl/>
        </w:rPr>
        <w:t xml:space="preserve"> </w:t>
      </w:r>
      <w:r w:rsidRPr="00C13ED9">
        <w:rPr>
          <w:rFonts w:ascii="David" w:hAnsi="David" w:hint="cs"/>
          <w:rtl/>
        </w:rPr>
        <w:t>(</w:t>
      </w:r>
      <w:r w:rsidRPr="00C13ED9">
        <w:rPr>
          <w:rFonts w:ascii="David" w:hAnsi="David"/>
          <w:rtl/>
        </w:rPr>
        <w:t>15.9.</w:t>
      </w:r>
      <w:r w:rsidRPr="00C13ED9">
        <w:rPr>
          <w:rFonts w:ascii="David" w:hAnsi="David" w:hint="cs"/>
          <w:rtl/>
        </w:rPr>
        <w:t>2020)</w:t>
      </w:r>
      <w:r w:rsidRPr="00C13ED9">
        <w:rPr>
          <w:rFonts w:ascii="David" w:hAnsi="David"/>
          <w:rtl/>
        </w:rPr>
        <w:t>).</w:t>
      </w:r>
    </w:p>
    <w:p w:rsidR="006E1BCE" w:rsidRPr="00C13ED9" w:rsidRDefault="006E1BCE" w:rsidP="006F553B">
      <w:pPr>
        <w:spacing w:line="360" w:lineRule="auto"/>
        <w:ind w:left="-199"/>
        <w:jc w:val="both"/>
        <w:rPr>
          <w:rFonts w:ascii="David" w:hAnsi="David"/>
          <w:sz w:val="28"/>
          <w:szCs w:val="28"/>
          <w:rtl/>
        </w:rPr>
      </w:pPr>
    </w:p>
    <w:p w:rsidR="006E1BCE" w:rsidRPr="00C13ED9" w:rsidRDefault="006E1BCE" w:rsidP="006F553B">
      <w:pPr>
        <w:spacing w:line="360" w:lineRule="auto"/>
        <w:ind w:left="-199"/>
        <w:jc w:val="both"/>
        <w:rPr>
          <w:rFonts w:ascii="David" w:hAnsi="David"/>
          <w:rtl/>
        </w:rPr>
      </w:pPr>
      <w:r w:rsidRPr="00C13ED9">
        <w:rPr>
          <w:rFonts w:ascii="David" w:hAnsi="David" w:hint="cs"/>
          <w:b/>
          <w:bCs/>
          <w:rtl/>
        </w:rPr>
        <w:t>מידת הפגיעה בערכים המוגנים</w:t>
      </w:r>
      <w:r w:rsidRPr="00C13ED9">
        <w:rPr>
          <w:rFonts w:ascii="David" w:hAnsi="David" w:hint="cs"/>
          <w:rtl/>
        </w:rPr>
        <w:t xml:space="preserve">: נסיבות הפציעה, אשר נגרמה באמצעות הסכין בה אחז הנאשם ואשר באמצעותה דקר את נורית ז"ל למוות הן חמורות ואולם, למרות זאת, בסופו של דבר אינני סבורה כי מדובר בפגיעה משמעותית בערכים המוגנים, זאת בהינתן שעוצמת הפגיעה, חרף השימוש בנשק קר </w:t>
      </w:r>
      <w:r w:rsidRPr="00C13ED9">
        <w:rPr>
          <w:rFonts w:ascii="David" w:hAnsi="David"/>
          <w:rtl/>
        </w:rPr>
        <w:t>–</w:t>
      </w:r>
      <w:r w:rsidRPr="00C13ED9">
        <w:rPr>
          <w:rFonts w:ascii="David" w:hAnsi="David" w:hint="cs"/>
          <w:rtl/>
        </w:rPr>
        <w:t xml:space="preserve"> סכין, היא לא מהחמורות </w:t>
      </w:r>
      <w:r w:rsidRPr="00C13ED9">
        <w:rPr>
          <w:rFonts w:ascii="David" w:hAnsi="David"/>
          <w:rtl/>
        </w:rPr>
        <w:t>–</w:t>
      </w:r>
      <w:r w:rsidRPr="00C13ED9">
        <w:rPr>
          <w:rFonts w:ascii="David" w:hAnsi="David" w:hint="cs"/>
          <w:rtl/>
        </w:rPr>
        <w:t xml:space="preserve"> חתך בגודל של כ </w:t>
      </w:r>
      <w:r w:rsidRPr="00C13ED9">
        <w:rPr>
          <w:rFonts w:ascii="David" w:hAnsi="David"/>
          <w:rtl/>
        </w:rPr>
        <w:t>–</w:t>
      </w:r>
      <w:r w:rsidRPr="00C13ED9">
        <w:rPr>
          <w:rFonts w:ascii="David" w:hAnsi="David" w:hint="cs"/>
          <w:rtl/>
        </w:rPr>
        <w:t xml:space="preserve"> 3 ס"מ בחלק הקדמי של הראש של ז.מ. מעל מצחו. </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rtl/>
        </w:rPr>
      </w:pPr>
      <w:r w:rsidRPr="00C13ED9">
        <w:rPr>
          <w:rFonts w:ascii="David" w:hAnsi="David" w:hint="cs"/>
          <w:b/>
          <w:bCs/>
          <w:u w:val="single"/>
          <w:rtl/>
        </w:rPr>
        <w:t>הנסיבות הקשורות בביצוע העבירה</w:t>
      </w:r>
      <w:r w:rsidRPr="00C13ED9">
        <w:rPr>
          <w:rFonts w:ascii="David" w:hAnsi="David" w:hint="cs"/>
          <w:rtl/>
        </w:rPr>
        <w:t>,</w:t>
      </w:r>
    </w:p>
    <w:p w:rsidR="006E1BCE" w:rsidRPr="00C13ED9" w:rsidRDefault="006E1BCE" w:rsidP="006F553B">
      <w:pPr>
        <w:spacing w:line="360" w:lineRule="auto"/>
        <w:ind w:left="-199"/>
        <w:jc w:val="both"/>
        <w:rPr>
          <w:rFonts w:ascii="David" w:hAnsi="David"/>
          <w:b/>
          <w:bCs/>
          <w:rtl/>
        </w:rPr>
      </w:pPr>
      <w:r w:rsidRPr="00C13ED9">
        <w:rPr>
          <w:rFonts w:ascii="David" w:hAnsi="David" w:hint="cs"/>
          <w:b/>
          <w:bCs/>
          <w:rtl/>
        </w:rPr>
        <w:t>התכנון שקדם לביצוע העבירות [סע' 40ט(א)(1) לחוק]:</w:t>
      </w:r>
      <w:r w:rsidRPr="00C13ED9">
        <w:rPr>
          <w:rFonts w:ascii="David" w:hAnsi="David" w:hint="cs"/>
          <w:rtl/>
        </w:rPr>
        <w:t xml:space="preserve"> </w:t>
      </w:r>
    </w:p>
    <w:p w:rsidR="006E1BCE" w:rsidRPr="00C13ED9" w:rsidRDefault="006E1BCE" w:rsidP="004E5A42">
      <w:pPr>
        <w:spacing w:line="360" w:lineRule="auto"/>
        <w:ind w:left="-199"/>
        <w:jc w:val="both"/>
        <w:rPr>
          <w:rFonts w:ascii="David" w:hAnsi="David"/>
          <w:rtl/>
        </w:rPr>
      </w:pPr>
      <w:r w:rsidRPr="00C13ED9">
        <w:rPr>
          <w:rFonts w:ascii="David" w:hAnsi="David"/>
          <w:rtl/>
        </w:rPr>
        <w:t xml:space="preserve">אין חולק, כי הנסיבות, כפי שפורטו בהרחבה בכתב האישום, מלמדות על חומרתו של האירוע, כאשר הנאשם פצע את ז.מ., באמצעות הסכין בה השתמש לדקירתה של אמו </w:t>
      </w:r>
      <w:r w:rsidRPr="00C13ED9">
        <w:rPr>
          <w:rFonts w:ascii="David" w:hAnsi="David" w:hint="cs"/>
          <w:rtl/>
        </w:rPr>
        <w:t>חאית</w:t>
      </w:r>
      <w:r w:rsidRPr="00C13ED9">
        <w:rPr>
          <w:rFonts w:ascii="David" w:hAnsi="David"/>
          <w:rtl/>
        </w:rPr>
        <w:t xml:space="preserve"> ודודתו נורית ז"ל למוות, והכל כאשר ז.מ. שוכב לצדה של נורית ז"ל ועד למעשים ולתוצאותיהם הקטלניות והקשות. כן נובעת חומרה מכך שז.מ. הוא בן משפחה קטין של הנאשם. אשר למעשה הפגיעה בקטין, אמנם לא ניתן לקבוע כי מדובר במקרה שקדם לו תכנון, שעה שהפגיעה בז.מ. אירעה </w:t>
      </w:r>
      <w:r w:rsidRPr="00C13ED9">
        <w:rPr>
          <w:rFonts w:ascii="David" w:hAnsi="David"/>
          <w:rtl/>
        </w:rPr>
        <w:lastRenderedPageBreak/>
        <w:t xml:space="preserve">אגב רציחתה של נורית ז"ל. יחד עם זאת, לא ניתן להתעלם מהפזיזות בה פעל הנאשם וכן מאדישותו לתוצאות מעשיו, בהינתן שדקר באכזריות את נורית ז"ל למוות בעוד ז.מ. וקטין נוסף שוכבים לצדה ועלולים בקלות להיפגע, כפי שאכן קרה. לכך יש להוסיף כי גם פוטנציאל הנזק שהיה עלול להיגרם לז.מ. הוא גדול, עת הנאשם הניף את הסכין ודקר שוב ושוב את נורית ז"ל, בזמן שז.מ. שוכב לצדה, ורק למזלם של כל המעורבים, הסתכם הנזק לז.מ. בחתך בגודל של כ-3 ס"מ מעל מצחו של האחרון. </w:t>
      </w:r>
    </w:p>
    <w:p w:rsidR="006E1BCE" w:rsidRPr="00C13ED9" w:rsidRDefault="006E1BCE" w:rsidP="006F553B">
      <w:pPr>
        <w:spacing w:line="360" w:lineRule="auto"/>
        <w:ind w:left="-199"/>
        <w:jc w:val="both"/>
        <w:rPr>
          <w:rFonts w:ascii="David" w:hAnsi="David"/>
          <w:b/>
          <w:bCs/>
          <w:rtl/>
        </w:rPr>
      </w:pPr>
      <w:r w:rsidRPr="00C13ED9">
        <w:rPr>
          <w:rFonts w:ascii="David" w:hAnsi="David" w:hint="cs"/>
          <w:b/>
          <w:bCs/>
          <w:rtl/>
        </w:rPr>
        <w:t xml:space="preserve">הנזק </w:t>
      </w:r>
      <w:r w:rsidRPr="00C13ED9">
        <w:rPr>
          <w:rFonts w:ascii="David" w:hAnsi="David"/>
          <w:b/>
          <w:bCs/>
          <w:rtl/>
        </w:rPr>
        <w:t>שהיה צפוי להיגרם מביצוע העבירה</w:t>
      </w:r>
      <w:r w:rsidRPr="00C13ED9">
        <w:rPr>
          <w:rFonts w:ascii="David" w:hAnsi="David" w:hint="cs"/>
          <w:b/>
          <w:bCs/>
          <w:rtl/>
        </w:rPr>
        <w:t xml:space="preserve"> וה</w:t>
      </w:r>
      <w:r w:rsidRPr="00C13ED9">
        <w:rPr>
          <w:rFonts w:ascii="David" w:hAnsi="David"/>
          <w:b/>
          <w:bCs/>
          <w:rtl/>
        </w:rPr>
        <w:t>נזק שנגרם מביצוע העבירה</w:t>
      </w:r>
      <w:r w:rsidRPr="00C13ED9">
        <w:rPr>
          <w:rFonts w:ascii="David" w:hAnsi="David" w:hint="cs"/>
          <w:b/>
          <w:bCs/>
          <w:rtl/>
        </w:rPr>
        <w:t xml:space="preserve"> [סע'</w:t>
      </w:r>
      <w:r w:rsidRPr="00C13ED9">
        <w:rPr>
          <w:rFonts w:ascii="David" w:hAnsi="David" w:hint="cs"/>
          <w:rtl/>
        </w:rPr>
        <w:t xml:space="preserve"> </w:t>
      </w:r>
      <w:r w:rsidRPr="00C13ED9">
        <w:rPr>
          <w:rFonts w:ascii="David" w:hAnsi="David" w:hint="cs"/>
          <w:b/>
          <w:bCs/>
          <w:rtl/>
        </w:rPr>
        <w:t>40ט(א)(3)</w:t>
      </w:r>
      <w:r w:rsidR="00A34BAA">
        <w:rPr>
          <w:rFonts w:ascii="David" w:hAnsi="David" w:hint="cs"/>
          <w:b/>
          <w:bCs/>
          <w:rtl/>
        </w:rPr>
        <w:t xml:space="preserve"> </w:t>
      </w:r>
      <w:r w:rsidRPr="00C13ED9">
        <w:rPr>
          <w:rFonts w:ascii="David" w:hAnsi="David" w:hint="cs"/>
          <w:b/>
          <w:bCs/>
          <w:rtl/>
        </w:rPr>
        <w:t xml:space="preserve">ו - (4) </w:t>
      </w:r>
      <w:r w:rsidRPr="00C13ED9">
        <w:rPr>
          <w:rFonts w:ascii="David" w:hAnsi="David" w:hint="cs"/>
          <w:rtl/>
        </w:rPr>
        <w:t xml:space="preserve">לחוק] </w:t>
      </w:r>
      <w:r w:rsidRPr="00C13ED9">
        <w:rPr>
          <w:rFonts w:ascii="David" w:hAnsi="David"/>
          <w:rtl/>
        </w:rPr>
        <w:t>–</w:t>
      </w:r>
      <w:r w:rsidRPr="00C13ED9">
        <w:rPr>
          <w:rFonts w:ascii="David" w:hAnsi="David" w:hint="cs"/>
          <w:rtl/>
        </w:rPr>
        <w:t xml:space="preserve"> כפי שפורט לעיל, הגם פוטנציאל הפגיעה הגבוה, בפועל</w:t>
      </w:r>
      <w:r w:rsidRPr="00C13ED9">
        <w:rPr>
          <w:rFonts w:ascii="David" w:hAnsi="David"/>
          <w:rtl/>
        </w:rPr>
        <w:t xml:space="preserve"> חרף השימוש בנשק קר – סכין, </w:t>
      </w:r>
      <w:r w:rsidRPr="00C13ED9">
        <w:rPr>
          <w:rFonts w:ascii="David" w:hAnsi="David" w:hint="cs"/>
          <w:rtl/>
        </w:rPr>
        <w:t xml:space="preserve">הפגיעה בקטין ז.מ. אינה  </w:t>
      </w:r>
      <w:r w:rsidRPr="00C13ED9">
        <w:rPr>
          <w:rFonts w:ascii="David" w:hAnsi="David"/>
          <w:rtl/>
        </w:rPr>
        <w:t>מהחמורות – חתך בגודל של כ – 3 ס"מ בחלק הקדמי של הראש של ז.מ. מעל מצחו.</w:t>
      </w:r>
    </w:p>
    <w:p w:rsidR="006E1BCE" w:rsidRPr="00C13ED9" w:rsidRDefault="006E1BCE" w:rsidP="006F553B">
      <w:pPr>
        <w:spacing w:line="360" w:lineRule="auto"/>
        <w:ind w:left="-199"/>
        <w:jc w:val="both"/>
        <w:rPr>
          <w:rFonts w:ascii="David" w:hAnsi="David"/>
          <w:b/>
          <w:bCs/>
          <w:rtl/>
        </w:rPr>
      </w:pPr>
    </w:p>
    <w:p w:rsidR="006E1BCE" w:rsidRPr="00C13ED9" w:rsidRDefault="006E1BCE" w:rsidP="006F553B">
      <w:pPr>
        <w:spacing w:line="360" w:lineRule="auto"/>
        <w:ind w:left="-199"/>
        <w:jc w:val="both"/>
        <w:rPr>
          <w:rFonts w:ascii="David" w:hAnsi="David"/>
          <w:rtl/>
        </w:rPr>
      </w:pPr>
      <w:r w:rsidRPr="00C13ED9">
        <w:rPr>
          <w:rFonts w:ascii="David" w:hAnsi="David"/>
          <w:b/>
          <w:bCs/>
          <w:rtl/>
        </w:rPr>
        <w:t>הסיבות שהביאו את הנאשם לבצע את העבירה</w:t>
      </w:r>
      <w:r w:rsidRPr="00C13ED9">
        <w:rPr>
          <w:rFonts w:ascii="David" w:hAnsi="David" w:hint="cs"/>
          <w:b/>
          <w:bCs/>
          <w:rtl/>
        </w:rPr>
        <w:t xml:space="preserve"> </w:t>
      </w:r>
      <w:r w:rsidRPr="00C13ED9">
        <w:rPr>
          <w:rFonts w:ascii="David" w:hAnsi="David"/>
          <w:b/>
          <w:bCs/>
          <w:rtl/>
        </w:rPr>
        <w:t>[סע' 40ט(א)(</w:t>
      </w:r>
      <w:r w:rsidRPr="00C13ED9">
        <w:rPr>
          <w:rFonts w:ascii="David" w:hAnsi="David" w:hint="cs"/>
          <w:b/>
          <w:bCs/>
          <w:rtl/>
        </w:rPr>
        <w:t xml:space="preserve">5) לחוק] </w:t>
      </w:r>
      <w:r w:rsidRPr="00C13ED9">
        <w:rPr>
          <w:rFonts w:ascii="David" w:hAnsi="David"/>
          <w:rtl/>
        </w:rPr>
        <w:t>– במקרה דנן עולה מהכרעת הדין כי בין הנאשם ובין אחיותיו התקיים סכסוך במשך מספר שנים, הנסב, בין היתר, על אורחות חייהן של האחיות ואופן גידול ילדיהן, אשר לא נשאו חן בעיני הנאשם. זאת ועוד, כפי שפורט ונקבע בהכרעת הדין, בלבו של הנאשם גמלה ההחלטה להביא למותן של אחיותיו המנוחות והוא אף תכנן את האופן בו תוצא לפועל החלטתו זו.</w:t>
      </w:r>
      <w:r w:rsidRPr="00C13ED9">
        <w:rPr>
          <w:rFonts w:ascii="David" w:hAnsi="David" w:hint="cs"/>
          <w:rtl/>
        </w:rPr>
        <w:t xml:space="preserve"> העבירה נשוא אישום זה, בוצעה אגב דקירותיה של אחותו של הנאשם נורית ז"ל, שעה שהנפגע </w:t>
      </w:r>
      <w:r w:rsidRPr="00C13ED9">
        <w:rPr>
          <w:rFonts w:ascii="David" w:hAnsi="David"/>
          <w:rtl/>
        </w:rPr>
        <w:t>–</w:t>
      </w:r>
      <w:r w:rsidRPr="00C13ED9">
        <w:rPr>
          <w:rFonts w:ascii="David" w:hAnsi="David" w:hint="cs"/>
          <w:rtl/>
        </w:rPr>
        <w:t xml:space="preserve"> ז.מ. </w:t>
      </w:r>
      <w:r w:rsidRPr="00C13ED9">
        <w:rPr>
          <w:rFonts w:ascii="David" w:hAnsi="David"/>
          <w:rtl/>
        </w:rPr>
        <w:t>–</w:t>
      </w:r>
      <w:r w:rsidRPr="00C13ED9">
        <w:rPr>
          <w:rFonts w:ascii="David" w:hAnsi="David" w:hint="cs"/>
          <w:rtl/>
        </w:rPr>
        <w:t xml:space="preserve"> ישן בסמוך לה. </w:t>
      </w:r>
    </w:p>
    <w:p w:rsidR="006E1BCE" w:rsidRPr="00C13ED9" w:rsidRDefault="006E1BCE" w:rsidP="006F553B">
      <w:pPr>
        <w:spacing w:line="360" w:lineRule="auto"/>
        <w:ind w:left="-199"/>
        <w:jc w:val="both"/>
        <w:rPr>
          <w:rFonts w:ascii="David" w:hAnsi="David"/>
        </w:rPr>
      </w:pPr>
    </w:p>
    <w:p w:rsidR="006E1BCE" w:rsidRPr="00C13ED9" w:rsidRDefault="006E1BCE" w:rsidP="006F553B">
      <w:pPr>
        <w:spacing w:line="360" w:lineRule="auto"/>
        <w:ind w:left="-199"/>
        <w:jc w:val="both"/>
        <w:rPr>
          <w:rFonts w:ascii="David" w:hAnsi="David"/>
          <w:rtl/>
        </w:rPr>
      </w:pPr>
      <w:r w:rsidRPr="00C13ED9">
        <w:rPr>
          <w:rFonts w:ascii="David" w:hAnsi="David" w:hint="cs"/>
          <w:b/>
          <w:bCs/>
          <w:rtl/>
        </w:rPr>
        <w:t xml:space="preserve">נסיבות נוספות הקשורות בביצוע העבירות [סע' 40יב לחוק] </w:t>
      </w:r>
      <w:r w:rsidRPr="00C13ED9">
        <w:rPr>
          <w:rFonts w:ascii="David" w:hAnsi="David"/>
          <w:b/>
          <w:bCs/>
          <w:rtl/>
        </w:rPr>
        <w:t>–</w:t>
      </w:r>
      <w:r w:rsidRPr="00C13ED9">
        <w:rPr>
          <w:rFonts w:ascii="David" w:hAnsi="David" w:hint="cs"/>
          <w:rtl/>
        </w:rPr>
        <w:t xml:space="preserve">מקום ביצוע העבירה </w:t>
      </w:r>
      <w:r w:rsidRPr="00C13ED9">
        <w:rPr>
          <w:rFonts w:ascii="David" w:hAnsi="David"/>
          <w:rtl/>
        </w:rPr>
        <w:t>–</w:t>
      </w:r>
      <w:r w:rsidRPr="00C13ED9">
        <w:rPr>
          <w:rFonts w:ascii="David" w:hAnsi="David" w:hint="cs"/>
          <w:rtl/>
        </w:rPr>
        <w:t xml:space="preserve"> העבירה בוצעה בעת שנפגע העבירה ישן לצד דודתו בביתם. </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rtl/>
        </w:rPr>
      </w:pPr>
      <w:r w:rsidRPr="00C13ED9">
        <w:rPr>
          <w:rFonts w:ascii="David" w:hAnsi="David" w:hint="cs"/>
          <w:b/>
          <w:bCs/>
          <w:u w:val="single"/>
          <w:rtl/>
        </w:rPr>
        <w:t>מדיניות הענישה הנוהגת</w:t>
      </w:r>
      <w:r w:rsidR="00050CDD" w:rsidRPr="00C13ED9">
        <w:rPr>
          <w:rFonts w:ascii="David" w:hAnsi="David" w:hint="cs"/>
          <w:b/>
          <w:bCs/>
          <w:u w:val="single"/>
          <w:rtl/>
        </w:rPr>
        <w:t xml:space="preserve"> </w:t>
      </w:r>
      <w:r w:rsidR="00050CDD" w:rsidRPr="00C13ED9">
        <w:rPr>
          <w:rFonts w:ascii="David" w:hAnsi="David"/>
          <w:b/>
          <w:bCs/>
          <w:u w:val="single"/>
          <w:rtl/>
        </w:rPr>
        <w:t>–</w:t>
      </w:r>
      <w:r w:rsidR="00050CDD" w:rsidRPr="00C13ED9">
        <w:rPr>
          <w:rFonts w:ascii="David" w:hAnsi="David" w:hint="cs"/>
          <w:b/>
          <w:bCs/>
          <w:u w:val="single"/>
          <w:rtl/>
        </w:rPr>
        <w:t xml:space="preserve"> פציעה בנסיבות מחמירות</w:t>
      </w:r>
      <w:r w:rsidRPr="00C13ED9">
        <w:rPr>
          <w:rFonts w:ascii="David" w:hAnsi="David" w:hint="cs"/>
          <w:rtl/>
        </w:rPr>
        <w:t>:</w:t>
      </w:r>
    </w:p>
    <w:p w:rsidR="006E1BCE" w:rsidRPr="00C13ED9" w:rsidRDefault="006E1BCE" w:rsidP="006F553B">
      <w:pPr>
        <w:spacing w:line="360" w:lineRule="auto"/>
        <w:ind w:left="-199"/>
        <w:jc w:val="both"/>
        <w:rPr>
          <w:rFonts w:ascii="David" w:hAnsi="David"/>
          <w:rtl/>
        </w:rPr>
      </w:pPr>
      <w:r w:rsidRPr="00C13ED9">
        <w:rPr>
          <w:rFonts w:ascii="David" w:hAnsi="David" w:hint="cs"/>
          <w:rtl/>
        </w:rPr>
        <w:t xml:space="preserve">אקדים ואציין, כי באופן טבעי קשה לאתר ולמצוא מדיניות ענישה בפסיקה הנוהגת, שבה נדון אירוע הנסב על נסיבות שתואמות במדויק את נסיבות התיק דנן. </w:t>
      </w:r>
      <w:r w:rsidRPr="00C13ED9">
        <w:rPr>
          <w:rFonts w:hint="cs"/>
          <w:rtl/>
        </w:rPr>
        <w:t xml:space="preserve">ההכרעות בעבירה זאת משתרעות על פני ספקטרום רחב. </w:t>
      </w:r>
      <w:r w:rsidRPr="00C13ED9">
        <w:rPr>
          <w:rFonts w:ascii="David" w:hAnsi="David" w:hint="cs"/>
          <w:rtl/>
        </w:rPr>
        <w:t>משכך, הפסיקה המובאת להלן תהווה אך אמת מידה כללית לענישה הנוהגת.</w:t>
      </w:r>
    </w:p>
    <w:p w:rsidR="006E1BCE" w:rsidRPr="00C13ED9" w:rsidRDefault="006E1BCE" w:rsidP="006F553B">
      <w:pPr>
        <w:spacing w:line="360" w:lineRule="auto"/>
        <w:ind w:left="-199"/>
        <w:jc w:val="both"/>
        <w:rPr>
          <w:rFonts w:ascii="David" w:hAnsi="David"/>
          <w:u w:val="single"/>
          <w:rtl/>
        </w:rPr>
      </w:pPr>
    </w:p>
    <w:p w:rsidR="006E1BCE" w:rsidRPr="00C13ED9" w:rsidRDefault="006E1BCE" w:rsidP="006F553B">
      <w:pPr>
        <w:spacing w:line="360" w:lineRule="auto"/>
        <w:ind w:left="-199"/>
        <w:jc w:val="both"/>
        <w:rPr>
          <w:rFonts w:ascii="David" w:hAnsi="David"/>
          <w:rtl/>
        </w:rPr>
      </w:pPr>
      <w:r w:rsidRPr="00C13ED9">
        <w:rPr>
          <w:rFonts w:ascii="David" w:hAnsi="David" w:hint="cs"/>
          <w:u w:val="single"/>
          <w:rtl/>
        </w:rPr>
        <w:lastRenderedPageBreak/>
        <w:t xml:space="preserve">תפ"ח 5551-06-16 </w:t>
      </w:r>
      <w:r w:rsidRPr="00C13ED9">
        <w:rPr>
          <w:rFonts w:ascii="Miriam" w:hAnsi="Miriam" w:cs="Miriam"/>
          <w:u w:val="single"/>
          <w:rtl/>
        </w:rPr>
        <w:t>מדינת ישראל נ' טחימר</w:t>
      </w:r>
      <w:r w:rsidRPr="00C13ED9">
        <w:rPr>
          <w:rFonts w:ascii="David" w:hAnsi="David" w:hint="cs"/>
          <w:u w:val="single"/>
          <w:rtl/>
        </w:rPr>
        <w:t xml:space="preserve"> (14.06.2020)</w:t>
      </w:r>
      <w:r w:rsidRPr="00C13ED9">
        <w:rPr>
          <w:rFonts w:ascii="David" w:hAnsi="David" w:hint="cs"/>
          <w:rtl/>
        </w:rPr>
        <w:t xml:space="preserve"> </w:t>
      </w:r>
      <w:r w:rsidRPr="00C13ED9">
        <w:rPr>
          <w:rFonts w:ascii="David" w:hAnsi="David"/>
          <w:rtl/>
        </w:rPr>
        <w:t>–</w:t>
      </w:r>
      <w:r w:rsidRPr="00C13ED9">
        <w:rPr>
          <w:rFonts w:ascii="David" w:hAnsi="David" w:hint="cs"/>
          <w:rtl/>
        </w:rPr>
        <w:t xml:space="preserve"> (הוגש על ידי המאשימה) </w:t>
      </w:r>
      <w:r w:rsidRPr="00C13ED9">
        <w:rPr>
          <w:rFonts w:ascii="David" w:hAnsi="David"/>
          <w:rtl/>
        </w:rPr>
        <w:t>–</w:t>
      </w:r>
      <w:r w:rsidRPr="00C13ED9">
        <w:rPr>
          <w:rFonts w:ascii="David" w:hAnsi="David" w:hint="cs"/>
          <w:rtl/>
        </w:rPr>
        <w:t xml:space="preserve"> הנאשם הורשע בעבירות של רצח בכוונה תחילה לפי סעיף 300(א)(2) לחוק העונשין, תקיפת קטין הגורמת חבלה חמורה לפי סעיף 368ב(ב) לחוק העונשין, פציעה בנסיבות מחמירות לפי סעיפים 334 ו- 335(א)(1) לחוק העונשין ותקיפה סתם לפי סעיף 379 לחוק העונשין. הנאשם הורשע ברציחתה של המנוחה ובפציעת ילדיה הקטינים </w:t>
      </w:r>
      <w:r w:rsidRPr="00C13ED9">
        <w:rPr>
          <w:rFonts w:ascii="David" w:hAnsi="David"/>
          <w:rtl/>
        </w:rPr>
        <w:t>–</w:t>
      </w:r>
      <w:r w:rsidRPr="00C13ED9">
        <w:rPr>
          <w:rFonts w:ascii="David" w:hAnsi="David" w:hint="cs"/>
          <w:rtl/>
        </w:rPr>
        <w:t xml:space="preserve"> האחד נדחף והופל ארצה בעודו מנסה לגונן על אמו המנוחה, והשני, הותקף במכת אגרוף בפניו שגרם לשחרור אחת משיניו ממקומה וכן ניסיון דקירה אשר הסתיים בפציעה קלה באצבע. בית המשפט המחוזי בחיפה השית על הנאשם עונש מאסר עולם בגין רציחתה של המנוחה, ובגין פציעת ילדיה הקטינים (שני קטינים) נקבע מתחם ענישה בין 24 לבין 48 חודשי מאסר לריצוי בפועל, </w:t>
      </w:r>
      <w:r w:rsidRPr="00C13ED9">
        <w:rPr>
          <w:rFonts w:ascii="David" w:hAnsi="David" w:hint="cs"/>
          <w:b/>
          <w:bCs/>
          <w:rtl/>
        </w:rPr>
        <w:t>ונגזרו 48 חודשי מאסר נוספים לריצוי בפועל</w:t>
      </w:r>
      <w:r w:rsidRPr="00C13ED9">
        <w:rPr>
          <w:rFonts w:ascii="David" w:hAnsi="David" w:hint="cs"/>
          <w:rtl/>
        </w:rPr>
        <w:t xml:space="preserve">. בערעור לעליון (ע"פ 5285/20 </w:t>
      </w:r>
      <w:r w:rsidRPr="00C13ED9">
        <w:rPr>
          <w:rFonts w:ascii="Miriam" w:hAnsi="Miriam" w:cs="Miriam" w:hint="cs"/>
          <w:rtl/>
        </w:rPr>
        <w:t>טחימר</w:t>
      </w:r>
      <w:r w:rsidRPr="00C13ED9">
        <w:rPr>
          <w:rFonts w:ascii="Miriam" w:hAnsi="Miriam" w:cs="Miriam"/>
          <w:rtl/>
        </w:rPr>
        <w:t xml:space="preserve"> נ' מדינת ישראל</w:t>
      </w:r>
      <w:r w:rsidRPr="00C13ED9">
        <w:rPr>
          <w:rFonts w:ascii="David" w:hAnsi="David" w:hint="cs"/>
          <w:rtl/>
        </w:rPr>
        <w:t xml:space="preserve"> (20.08.23)), אשר דחה את ערעור הנאשם על הרשעתו בעבירות האמורות וכן על גזר דינו, קביעה זו נותרה בעינה. יצוין, כי לאחרונה הוגשה בקשה לקיים דיון נוסף בפסק דינו של בית המשפט העליון </w:t>
      </w:r>
      <w:r w:rsidRPr="00C13ED9">
        <w:rPr>
          <w:rFonts w:ascii="David" w:hAnsi="David"/>
          <w:rtl/>
        </w:rPr>
        <w:t>–</w:t>
      </w:r>
      <w:r w:rsidRPr="00C13ED9">
        <w:rPr>
          <w:rFonts w:ascii="David" w:hAnsi="David" w:hint="cs"/>
          <w:rtl/>
        </w:rPr>
        <w:t xml:space="preserve"> דנ"פ 6565/23 </w:t>
      </w:r>
      <w:r w:rsidRPr="00C13ED9">
        <w:rPr>
          <w:rFonts w:ascii="Miriam" w:hAnsi="Miriam" w:cs="Miriam"/>
          <w:rtl/>
        </w:rPr>
        <w:t>טחימר נ' מדינת ישראל</w:t>
      </w:r>
      <w:r w:rsidRPr="00C13ED9">
        <w:rPr>
          <w:rFonts w:ascii="David" w:hAnsi="David" w:hint="cs"/>
          <w:rtl/>
        </w:rPr>
        <w:t xml:space="preserve"> - בקשה זו נדחתה (30.11.23). </w:t>
      </w:r>
    </w:p>
    <w:p w:rsidR="006E1BCE" w:rsidRPr="00C13ED9" w:rsidRDefault="006E1BCE" w:rsidP="006F553B">
      <w:pPr>
        <w:spacing w:line="360" w:lineRule="auto"/>
        <w:ind w:left="-199"/>
        <w:jc w:val="both"/>
        <w:rPr>
          <w:rFonts w:ascii="David" w:hAnsi="David"/>
          <w:u w:val="single"/>
          <w:rtl/>
        </w:rPr>
      </w:pPr>
    </w:p>
    <w:p w:rsidR="006E1BCE" w:rsidRPr="00C13ED9" w:rsidRDefault="006E1BCE" w:rsidP="006F553B">
      <w:pPr>
        <w:spacing w:line="360" w:lineRule="auto"/>
        <w:ind w:left="-199"/>
        <w:jc w:val="both"/>
        <w:rPr>
          <w:rFonts w:ascii="David" w:hAnsi="David"/>
          <w:rtl/>
        </w:rPr>
      </w:pPr>
      <w:r w:rsidRPr="00C13ED9">
        <w:rPr>
          <w:rFonts w:ascii="David" w:hAnsi="David" w:hint="cs"/>
          <w:u w:val="single"/>
          <w:rtl/>
        </w:rPr>
        <w:t>תפ"ח 26175-10-16 מדינת ישראל נ' מחאג'נה (15.11.18)</w:t>
      </w:r>
      <w:r w:rsidRPr="00C13ED9">
        <w:rPr>
          <w:rFonts w:ascii="David" w:hAnsi="David" w:hint="cs"/>
          <w:rtl/>
        </w:rPr>
        <w:t xml:space="preserve"> </w:t>
      </w:r>
      <w:r w:rsidRPr="00C13ED9">
        <w:rPr>
          <w:rFonts w:ascii="David" w:hAnsi="David"/>
          <w:rtl/>
        </w:rPr>
        <w:t>–</w:t>
      </w:r>
      <w:r w:rsidRPr="00C13ED9">
        <w:rPr>
          <w:rFonts w:ascii="David" w:hAnsi="David" w:hint="cs"/>
          <w:rtl/>
        </w:rPr>
        <w:t xml:space="preserve"> (הוגש על ידי המאשימה) </w:t>
      </w:r>
      <w:r w:rsidRPr="00C13ED9">
        <w:rPr>
          <w:rFonts w:ascii="David" w:hAnsi="David"/>
          <w:rtl/>
        </w:rPr>
        <w:t>–</w:t>
      </w:r>
      <w:r w:rsidRPr="00C13ED9">
        <w:rPr>
          <w:rFonts w:ascii="David" w:hAnsi="David" w:hint="cs"/>
          <w:rtl/>
        </w:rPr>
        <w:t xml:space="preserve"> הנאשם הורשע בביצוע עבירות של רצח בכוונה תחילה לפי סעיף 300(א)(2) לחוק העונשין, עבירות בנשק לפי סעיף 144 (א) ו(ב) לחוק העונשין ושתי עבירות של פציעה בנסיבות מחמירות לפי סעיפים 334 ו- 335(א)(1) לחוק העונשין. הנאשם השתתף במסיבת חתונה במהלכה שלף אקדח וירה לעבר המנוח 8 כדורים מטווח קצר אשר גרמו למותו. שני חוגגים שעמדו בסמוך למנוח, נפצעו אף הם מהירי, כאשר לאחד חדר קליע ללוע הבטן ולשני נגרם פצע ירי בעכוז. שניהם אושפזו בבית החולים. בית המשפט המחוזי בחיפה קבע מתחם ענישה לפציעה מירי בנסיבות מחמירות שנע בין שנתיים לחמש שנות מאסר בפועל, וגזר על הנאשם עונש של </w:t>
      </w:r>
      <w:r w:rsidRPr="00C13ED9">
        <w:rPr>
          <w:rFonts w:ascii="David" w:hAnsi="David" w:hint="cs"/>
          <w:b/>
          <w:bCs/>
          <w:rtl/>
        </w:rPr>
        <w:t>4</w:t>
      </w:r>
      <w:r w:rsidRPr="00C13ED9">
        <w:rPr>
          <w:rFonts w:ascii="David" w:hAnsi="David" w:hint="cs"/>
          <w:rtl/>
        </w:rPr>
        <w:t xml:space="preserve"> </w:t>
      </w:r>
      <w:r w:rsidRPr="00C13ED9">
        <w:rPr>
          <w:rFonts w:ascii="David" w:hAnsi="David" w:hint="cs"/>
          <w:b/>
          <w:bCs/>
          <w:rtl/>
        </w:rPr>
        <w:t>שנות מאסר בפועל בגין שתי עבירות של פציעה בנסיבות מחמירות, וזאת במצטבר לעונש של מאסר עולם</w:t>
      </w:r>
      <w:r w:rsidRPr="00C13ED9">
        <w:rPr>
          <w:rFonts w:ascii="David" w:hAnsi="David" w:hint="cs"/>
          <w:rtl/>
        </w:rPr>
        <w:t xml:space="preserve">. במסגרת הערעור - בע"פ 8965/18 </w:t>
      </w:r>
      <w:r w:rsidRPr="00C13ED9">
        <w:rPr>
          <w:rFonts w:ascii="Miriam" w:hAnsi="Miriam" w:cs="Miriam"/>
          <w:rtl/>
        </w:rPr>
        <w:t>מחאג'נה נ' מדינת ישראל</w:t>
      </w:r>
      <w:r w:rsidRPr="00C13ED9">
        <w:rPr>
          <w:rFonts w:ascii="David" w:hAnsi="David" w:hint="cs"/>
          <w:rtl/>
        </w:rPr>
        <w:t xml:space="preserve"> (3.11.2019) </w:t>
      </w:r>
      <w:r w:rsidRPr="00C13ED9">
        <w:rPr>
          <w:rFonts w:ascii="David" w:hAnsi="David"/>
          <w:rtl/>
        </w:rPr>
        <w:t>–</w:t>
      </w:r>
      <w:r w:rsidRPr="00C13ED9">
        <w:rPr>
          <w:rFonts w:ascii="David" w:hAnsi="David" w:hint="cs"/>
          <w:rtl/>
        </w:rPr>
        <w:t xml:space="preserve"> נדחה ערעור המערער הן על הכרעת הדין והן על גזר הדין.</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rtl/>
        </w:rPr>
      </w:pPr>
      <w:r w:rsidRPr="00C13ED9">
        <w:rPr>
          <w:rFonts w:ascii="David" w:hAnsi="David" w:hint="cs"/>
          <w:u w:val="single"/>
          <w:rtl/>
        </w:rPr>
        <w:lastRenderedPageBreak/>
        <w:t>תפ"ח 24510-09-15 מדינת ישראל נ' ראג'י גורבאן (2.12.18)</w:t>
      </w:r>
      <w:r w:rsidRPr="00C13ED9">
        <w:rPr>
          <w:rFonts w:ascii="David" w:hAnsi="David" w:hint="cs"/>
          <w:rtl/>
        </w:rPr>
        <w:t xml:space="preserve"> </w:t>
      </w:r>
      <w:r w:rsidRPr="00C13ED9">
        <w:rPr>
          <w:rFonts w:ascii="David" w:hAnsi="David"/>
          <w:rtl/>
        </w:rPr>
        <w:t>–</w:t>
      </w:r>
      <w:r w:rsidRPr="00C13ED9">
        <w:rPr>
          <w:rFonts w:ascii="David" w:hAnsi="David" w:hint="cs"/>
          <w:rtl/>
        </w:rPr>
        <w:t xml:space="preserve"> הנאשם הורשע בביצוע עבירה של רצח בכוונה תחילה לפי סעיף 300(א)(2) לחוק העונשין, עבירה של פציעה בנסיבות מחמירות לפי סעיפים 334 ו- 335(א)(1) לחוק העונשין, בעבירות בנשק לפי סעיף 144(א) ו- (ב) ביחד עם סעיף 29 לחוק העונשין ובעבירה של שיבוש מהלכי משפט לפי סעיף 244 לחוק העונשין. הנאשם הגיע לכיכר במרכז הכפר ג'אסר א-זרקא</w:t>
      </w:r>
      <w:r w:rsidRPr="00C13ED9">
        <w:rPr>
          <w:rFonts w:ascii="David" w:hAnsi="David" w:hint="cs"/>
          <w:b/>
          <w:bCs/>
          <w:rtl/>
        </w:rPr>
        <w:t>, ירה לעברו של המנוח ופצע אותו וכן פצע עוברת אורח שעברה במקום.</w:t>
      </w:r>
      <w:r w:rsidRPr="00C13ED9">
        <w:rPr>
          <w:rFonts w:ascii="David" w:hAnsi="David" w:hint="cs"/>
          <w:rtl/>
        </w:rPr>
        <w:t xml:space="preserve"> כעבור מספר ימים נפטר המנוח כתוצאה מפציעתו. פציעתה של עוברת האורח לא הייתה חמורה. בית המשפט המחוזי בחיפה קבע מתחם עונש לפציעה בנסיבות מחמירות של בין 18 ל- 36 חודשי מאסר, ובמקרה זה נגזרו על הנאשם </w:t>
      </w:r>
      <w:r w:rsidRPr="00C13ED9">
        <w:rPr>
          <w:rFonts w:ascii="David" w:hAnsi="David" w:hint="cs"/>
          <w:b/>
          <w:bCs/>
          <w:rtl/>
        </w:rPr>
        <w:t>30 חודשי מאסר בפועל</w:t>
      </w:r>
      <w:r w:rsidRPr="00C13ED9">
        <w:rPr>
          <w:rFonts w:ascii="David" w:hAnsi="David" w:hint="cs"/>
          <w:rtl/>
        </w:rPr>
        <w:t xml:space="preserve">. במסגרת הערעור לעליון </w:t>
      </w:r>
      <w:r w:rsidRPr="00C13ED9">
        <w:rPr>
          <w:rFonts w:ascii="David" w:hAnsi="David"/>
          <w:rtl/>
        </w:rPr>
        <w:t>–</w:t>
      </w:r>
      <w:r w:rsidRPr="00C13ED9">
        <w:rPr>
          <w:rFonts w:ascii="David" w:hAnsi="David" w:hint="cs"/>
          <w:rtl/>
        </w:rPr>
        <w:t xml:space="preserve"> בע"פ 9201/18 </w:t>
      </w:r>
      <w:r w:rsidRPr="00C13ED9">
        <w:rPr>
          <w:rFonts w:ascii="Miriam" w:hAnsi="Miriam" w:cs="Miriam"/>
          <w:rtl/>
        </w:rPr>
        <w:t>ראג'י גורבאן נ' מדינת ישראל</w:t>
      </w:r>
      <w:r w:rsidRPr="00C13ED9">
        <w:rPr>
          <w:rFonts w:ascii="David" w:hAnsi="David" w:hint="cs"/>
          <w:rtl/>
        </w:rPr>
        <w:t xml:space="preserve"> (08.06.2022) (להלן: </w:t>
      </w:r>
      <w:r w:rsidRPr="00C13ED9">
        <w:rPr>
          <w:rFonts w:ascii="David" w:hAnsi="David" w:hint="cs"/>
          <w:b/>
          <w:bCs/>
          <w:rtl/>
        </w:rPr>
        <w:t>"עניין גורבאן"</w:t>
      </w:r>
      <w:r w:rsidRPr="00C13ED9">
        <w:rPr>
          <w:rFonts w:ascii="David" w:hAnsi="David" w:hint="cs"/>
          <w:rtl/>
        </w:rPr>
        <w:t xml:space="preserve">), נדחה ערעור המערער על גזר הדין.  </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rtl/>
        </w:rPr>
      </w:pPr>
      <w:r w:rsidRPr="00C13ED9">
        <w:rPr>
          <w:rFonts w:ascii="David" w:hAnsi="David" w:hint="cs"/>
          <w:rtl/>
        </w:rPr>
        <w:t xml:space="preserve">ריכוז הפסיקה המשווה מלמד כי שני פסקי הדין אשר הוגשו על ידי המאשימה בתמיכה למתחם העונש אשר לו טענה מלמד כי בשניהם </w:t>
      </w:r>
      <w:r w:rsidRPr="00C13ED9">
        <w:rPr>
          <w:rFonts w:ascii="David" w:hAnsi="David"/>
          <w:rtl/>
        </w:rPr>
        <w:t>–</w:t>
      </w:r>
      <w:r w:rsidRPr="00C13ED9">
        <w:rPr>
          <w:rFonts w:ascii="David" w:hAnsi="David" w:hint="cs"/>
          <w:rtl/>
        </w:rPr>
        <w:t xml:space="preserve"> בכל הנוגע לעבירה של פציעה בנסיבות מחמירות </w:t>
      </w:r>
      <w:r w:rsidRPr="00C13ED9">
        <w:rPr>
          <w:rFonts w:ascii="David" w:hAnsi="David"/>
          <w:rtl/>
        </w:rPr>
        <w:t>–</w:t>
      </w:r>
      <w:r w:rsidRPr="00C13ED9">
        <w:rPr>
          <w:rFonts w:ascii="David" w:hAnsi="David" w:hint="cs"/>
          <w:rtl/>
        </w:rPr>
        <w:t xml:space="preserve"> מדובר בנסיבות החמורות מהנסיבות במקרה דנן. זאת הואיל ושני פסקי הדין עוסקים בפגיעה בשניים ולא באחד </w:t>
      </w:r>
      <w:r w:rsidRPr="00C13ED9">
        <w:rPr>
          <w:rFonts w:ascii="David" w:hAnsi="David"/>
          <w:rtl/>
        </w:rPr>
        <w:t>–</w:t>
      </w:r>
      <w:r w:rsidRPr="00C13ED9">
        <w:rPr>
          <w:rFonts w:ascii="David" w:hAnsi="David" w:hint="cs"/>
          <w:rtl/>
        </w:rPr>
        <w:t xml:space="preserve"> כאשר </w:t>
      </w:r>
      <w:r w:rsidRPr="00C13ED9">
        <w:rPr>
          <w:rFonts w:ascii="Miriam" w:hAnsi="Miriam" w:cs="Miriam"/>
          <w:rtl/>
        </w:rPr>
        <w:t>עניין מחאג'נה</w:t>
      </w:r>
      <w:r w:rsidRPr="00C13ED9">
        <w:rPr>
          <w:rFonts w:ascii="David" w:hAnsi="David" w:hint="cs"/>
          <w:rtl/>
        </w:rPr>
        <w:t xml:space="preserve"> עוסק בפגיעה מירי, בניגוד לפגיעה בענייננו שנעשתה באמצעות סכין ויתרה מכך, בשני המקרים על פניו הפגיעות חמורות מאלו שאירעו במקרה דנן. כפי שצוין לעיל, ההגנה לא הגישה כל פסיקה מטעמה לעניין העונש ואף לא טענה באשר למתחם העונש הראוי. </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rtl/>
        </w:rPr>
      </w:pPr>
      <w:r w:rsidRPr="00C13ED9">
        <w:rPr>
          <w:rFonts w:ascii="David" w:hAnsi="David" w:hint="cs"/>
          <w:rtl/>
        </w:rPr>
        <w:t xml:space="preserve">מכל המקובץ ולאחר ששקלתי את כל השיקולים שצריכים לעניין, מצאתי לקבוע מתחם עונש הולם לעבירת הפציעה בנסיבות מחמירות בה הורשע הנאשם הנע בין 12 </w:t>
      </w:r>
      <w:r w:rsidRPr="00C13ED9">
        <w:rPr>
          <w:rFonts w:ascii="David" w:hAnsi="David"/>
          <w:rtl/>
        </w:rPr>
        <w:t>–</w:t>
      </w:r>
      <w:r w:rsidRPr="00C13ED9">
        <w:rPr>
          <w:rFonts w:ascii="David" w:hAnsi="David" w:hint="cs"/>
          <w:rtl/>
        </w:rPr>
        <w:t xml:space="preserve"> 24 חודשי מאסר</w:t>
      </w:r>
      <w:r w:rsidR="00050CDD" w:rsidRPr="00C13ED9">
        <w:rPr>
          <w:rFonts w:ascii="David" w:hAnsi="David" w:hint="cs"/>
          <w:rtl/>
        </w:rPr>
        <w:t xml:space="preserve"> בפועל</w:t>
      </w:r>
      <w:r w:rsidRPr="00C13ED9">
        <w:rPr>
          <w:rFonts w:ascii="David" w:hAnsi="David" w:hint="cs"/>
          <w:rtl/>
        </w:rPr>
        <w:t>.</w:t>
      </w:r>
    </w:p>
    <w:p w:rsidR="006E1BCE" w:rsidRPr="00C13ED9" w:rsidRDefault="006E1BCE" w:rsidP="006F553B">
      <w:pPr>
        <w:spacing w:line="360" w:lineRule="auto"/>
        <w:ind w:left="-199"/>
        <w:jc w:val="both"/>
        <w:rPr>
          <w:rFonts w:ascii="David" w:hAnsi="David"/>
          <w:rtl/>
        </w:rPr>
      </w:pPr>
      <w:r w:rsidRPr="00C13ED9">
        <w:rPr>
          <w:rFonts w:ascii="David" w:hAnsi="David" w:hint="cs"/>
          <w:rtl/>
        </w:rPr>
        <w:t xml:space="preserve"> </w:t>
      </w:r>
    </w:p>
    <w:p w:rsidR="006E1BCE" w:rsidRPr="00C13ED9" w:rsidRDefault="006E1BCE" w:rsidP="006F553B">
      <w:pPr>
        <w:spacing w:line="360" w:lineRule="auto"/>
        <w:ind w:left="-199"/>
        <w:jc w:val="both"/>
        <w:rPr>
          <w:rFonts w:ascii="David" w:hAnsi="David"/>
          <w:rtl/>
        </w:rPr>
      </w:pPr>
      <w:r w:rsidRPr="00C13ED9">
        <w:rPr>
          <w:rFonts w:ascii="David" w:hAnsi="David" w:hint="cs"/>
          <w:b/>
          <w:bCs/>
          <w:u w:val="single"/>
          <w:rtl/>
        </w:rPr>
        <w:t>קביעת העונש בתוך המתחם</w:t>
      </w:r>
      <w:r w:rsidRPr="00C13ED9">
        <w:rPr>
          <w:rFonts w:ascii="David" w:hAnsi="David" w:hint="cs"/>
          <w:b/>
          <w:bCs/>
          <w:rtl/>
        </w:rPr>
        <w:t>-</w:t>
      </w:r>
    </w:p>
    <w:p w:rsidR="006E1BCE" w:rsidRPr="00C13ED9" w:rsidRDefault="006E1BCE" w:rsidP="006F553B">
      <w:pPr>
        <w:spacing w:line="360" w:lineRule="auto"/>
        <w:ind w:left="-199"/>
        <w:jc w:val="both"/>
        <w:rPr>
          <w:rFonts w:ascii="David" w:hAnsi="David"/>
          <w:rtl/>
        </w:rPr>
      </w:pPr>
      <w:r w:rsidRPr="00C13ED9">
        <w:rPr>
          <w:rFonts w:ascii="David" w:hAnsi="David" w:hint="cs"/>
          <w:rtl/>
        </w:rPr>
        <w:t xml:space="preserve">בגזירת עונשו של הנאשם בתוך מתחם הענישה יש להתחשב ראשית בנסיבות שאינן קשורות בביצוע העבירה. אשר לכך, מדובר בנאשם בן כ </w:t>
      </w:r>
      <w:r w:rsidRPr="00C13ED9">
        <w:rPr>
          <w:rFonts w:ascii="David" w:hAnsi="David"/>
          <w:rtl/>
        </w:rPr>
        <w:t>–</w:t>
      </w:r>
      <w:r w:rsidRPr="00C13ED9">
        <w:rPr>
          <w:rFonts w:ascii="David" w:hAnsi="David" w:hint="cs"/>
          <w:rtl/>
        </w:rPr>
        <w:t xml:space="preserve"> 29, שבמסגרת הכרעת הדין הורשע, נוסף על העבירה של פציעה בנסיבות מחמירות גם בשתי עבירות רצח בכוונה תחילה, בגינן יגזרו עליו שני מאסרי עולם. לנאשם עבר מכביד </w:t>
      </w:r>
      <w:r w:rsidRPr="00C13ED9">
        <w:rPr>
          <w:rFonts w:ascii="David" w:hAnsi="David" w:hint="cs"/>
          <w:rtl/>
        </w:rPr>
        <w:lastRenderedPageBreak/>
        <w:t xml:space="preserve">הכולל הרשעות לאורך השנים (החל משנת 2012 ועד לשנת 2018) הן בעבירות אלימות והן בעבירות של איומים. הנאשם לא נטל אחריות למעשיו וניהל את ההליך </w:t>
      </w:r>
      <w:r w:rsidRPr="00C13ED9">
        <w:rPr>
          <w:rFonts w:ascii="David" w:hAnsi="David"/>
          <w:rtl/>
        </w:rPr>
        <w:t>–</w:t>
      </w:r>
      <w:r w:rsidRPr="00C13ED9">
        <w:rPr>
          <w:rFonts w:ascii="David" w:hAnsi="David" w:hint="cs"/>
          <w:rtl/>
        </w:rPr>
        <w:t xml:space="preserve"> גם בכל הנוגע לעבירת הפציעה בנסיבות מחמירות </w:t>
      </w:r>
      <w:r w:rsidRPr="00C13ED9">
        <w:rPr>
          <w:rFonts w:ascii="David" w:hAnsi="David"/>
          <w:rtl/>
        </w:rPr>
        <w:t>–</w:t>
      </w:r>
      <w:r w:rsidRPr="00C13ED9">
        <w:rPr>
          <w:rFonts w:ascii="David" w:hAnsi="David" w:hint="cs"/>
          <w:rtl/>
        </w:rPr>
        <w:t xml:space="preserve"> עד תום. אשר לכך, יצויין כי הנאשם הודה כי מעשיו גרמו לפגיעה זו ואולם, הכחיש קיומו של היסוד הנפשי הנדרש לשם הרשעה בעבירה. נוסף על כך, הנאשם </w:t>
      </w:r>
      <w:r w:rsidRPr="00C13ED9">
        <w:rPr>
          <w:rFonts w:ascii="David" w:hAnsi="David"/>
          <w:rtl/>
        </w:rPr>
        <w:t>לא עשה כל ניסיון לחזור למוטב, לתקן את תוצאות מעשיו או לפצות את הנפגעים</w:t>
      </w:r>
      <w:r w:rsidRPr="00C13ED9">
        <w:rPr>
          <w:rFonts w:ascii="David" w:hAnsi="David" w:hint="cs"/>
          <w:rtl/>
        </w:rPr>
        <w:t xml:space="preserve">. </w:t>
      </w:r>
    </w:p>
    <w:p w:rsidR="006E1BCE" w:rsidRPr="00C13ED9" w:rsidRDefault="006E1BCE" w:rsidP="006F553B">
      <w:pPr>
        <w:spacing w:line="360" w:lineRule="auto"/>
        <w:ind w:left="-199"/>
        <w:rPr>
          <w:rFonts w:ascii="David" w:hAnsi="David"/>
          <w:rtl/>
        </w:rPr>
      </w:pPr>
    </w:p>
    <w:p w:rsidR="006E1BCE" w:rsidRPr="00C13ED9" w:rsidRDefault="006E1BCE" w:rsidP="006F553B">
      <w:pPr>
        <w:spacing w:line="360" w:lineRule="auto"/>
        <w:ind w:left="-199"/>
        <w:jc w:val="both"/>
        <w:rPr>
          <w:rFonts w:ascii="David" w:hAnsi="David"/>
          <w:rtl/>
        </w:rPr>
      </w:pPr>
      <w:r w:rsidRPr="00C13ED9">
        <w:rPr>
          <w:rFonts w:ascii="David" w:hAnsi="David"/>
          <w:b/>
          <w:bCs/>
          <w:rtl/>
        </w:rPr>
        <w:t>אי חריגה ממתחם העונש ההולם</w:t>
      </w:r>
      <w:r w:rsidRPr="00C13ED9">
        <w:rPr>
          <w:rFonts w:ascii="David" w:hAnsi="David"/>
          <w:rtl/>
        </w:rPr>
        <w:t xml:space="preserve">: בנסיבות תיק זה, לא מצאתי הצדקה לחרוג ממתחם העונש ההולם לחומרא </w:t>
      </w:r>
      <w:r w:rsidRPr="00C13ED9">
        <w:rPr>
          <w:rFonts w:ascii="David" w:hAnsi="David"/>
          <w:b/>
          <w:bCs/>
          <w:rtl/>
        </w:rPr>
        <w:t xml:space="preserve">[סע' 40ה לחוק], </w:t>
      </w:r>
      <w:r w:rsidRPr="00C13ED9">
        <w:rPr>
          <w:rFonts w:ascii="David" w:hAnsi="David"/>
          <w:rtl/>
        </w:rPr>
        <w:t xml:space="preserve">או לקולא </w:t>
      </w:r>
      <w:r w:rsidRPr="00C13ED9">
        <w:rPr>
          <w:rFonts w:ascii="David" w:hAnsi="David"/>
          <w:b/>
          <w:bCs/>
          <w:rtl/>
        </w:rPr>
        <w:t>[סע' 40ד לחוק].</w:t>
      </w:r>
      <w:r w:rsidRPr="00C13ED9">
        <w:rPr>
          <w:rFonts w:ascii="David" w:hAnsi="David"/>
          <w:rtl/>
        </w:rPr>
        <w:t xml:space="preserve">  </w:t>
      </w:r>
    </w:p>
    <w:p w:rsidR="006E1BCE" w:rsidRPr="00C13ED9" w:rsidRDefault="006E1BCE" w:rsidP="006F553B">
      <w:pPr>
        <w:spacing w:line="360" w:lineRule="auto"/>
        <w:ind w:left="-199"/>
        <w:jc w:val="both"/>
        <w:rPr>
          <w:rFonts w:ascii="David" w:hAnsi="David"/>
          <w:rtl/>
        </w:rPr>
      </w:pPr>
    </w:p>
    <w:p w:rsidR="006E1BCE" w:rsidRPr="00C13ED9" w:rsidRDefault="006E1BCE" w:rsidP="004E5A42">
      <w:pPr>
        <w:spacing w:line="360" w:lineRule="auto"/>
        <w:ind w:left="-199"/>
        <w:jc w:val="both"/>
        <w:rPr>
          <w:rFonts w:ascii="David" w:hAnsi="David"/>
          <w:rtl/>
        </w:rPr>
      </w:pPr>
      <w:r w:rsidRPr="00C13ED9">
        <w:rPr>
          <w:rFonts w:ascii="David" w:hAnsi="David" w:hint="cs"/>
          <w:rtl/>
        </w:rPr>
        <w:t>לאור כל האמור וב</w:t>
      </w:r>
      <w:r w:rsidRPr="00C13ED9">
        <w:rPr>
          <w:rFonts w:ascii="David" w:hAnsi="David"/>
          <w:rtl/>
        </w:rPr>
        <w:t>נסיבות</w:t>
      </w:r>
      <w:r w:rsidRPr="00C13ED9">
        <w:rPr>
          <w:rFonts w:ascii="David" w:hAnsi="David" w:hint="cs"/>
          <w:rtl/>
        </w:rPr>
        <w:t xml:space="preserve"> כפי שפורטו הנני סבורה כי </w:t>
      </w:r>
      <w:r w:rsidRPr="00C13ED9">
        <w:rPr>
          <w:rFonts w:ascii="David" w:hAnsi="David"/>
          <w:rtl/>
        </w:rPr>
        <w:t xml:space="preserve">יש לקבוע את עונשו של הנאשם </w:t>
      </w:r>
      <w:r w:rsidRPr="00C13ED9">
        <w:rPr>
          <w:rFonts w:ascii="David" w:hAnsi="David" w:hint="cs"/>
          <w:rtl/>
        </w:rPr>
        <w:t>במחציתו</w:t>
      </w:r>
      <w:r w:rsidRPr="00C13ED9">
        <w:rPr>
          <w:rFonts w:ascii="David" w:hAnsi="David"/>
          <w:rtl/>
        </w:rPr>
        <w:t xml:space="preserve"> של מתחם הענישה</w:t>
      </w:r>
      <w:r w:rsidRPr="00C13ED9">
        <w:rPr>
          <w:rFonts w:ascii="David" w:hAnsi="David" w:hint="cs"/>
          <w:rtl/>
        </w:rPr>
        <w:t>, בהינתן שהפציעה היא לא מהחמורות</w:t>
      </w:r>
      <w:r w:rsidRPr="00C13ED9">
        <w:rPr>
          <w:rFonts w:ascii="David" w:hAnsi="David"/>
          <w:rtl/>
        </w:rPr>
        <w:t>.</w:t>
      </w:r>
      <w:r w:rsidRPr="00C13ED9">
        <w:rPr>
          <w:rFonts w:ascii="David" w:hAnsi="David" w:hint="cs"/>
          <w:rtl/>
        </w:rPr>
        <w:t xml:space="preserve"> נוכח האמור, אציע לחבריי להשית על הנאשם עונש של 18 חודשי מאסר </w:t>
      </w:r>
      <w:r w:rsidR="00050CDD" w:rsidRPr="00C13ED9">
        <w:rPr>
          <w:rFonts w:ascii="David" w:hAnsi="David" w:hint="cs"/>
          <w:rtl/>
        </w:rPr>
        <w:t xml:space="preserve">בפועל </w:t>
      </w:r>
      <w:r w:rsidRPr="00C13ED9">
        <w:rPr>
          <w:rFonts w:ascii="David" w:hAnsi="David" w:hint="cs"/>
          <w:rtl/>
        </w:rPr>
        <w:t xml:space="preserve">בגין העבירה של פציעה בנסיבות מחמירות.  </w:t>
      </w:r>
    </w:p>
    <w:p w:rsidR="006E1BCE" w:rsidRPr="00C13ED9" w:rsidRDefault="006E1BCE" w:rsidP="006F553B">
      <w:pPr>
        <w:spacing w:line="360" w:lineRule="auto"/>
        <w:ind w:left="-199"/>
        <w:jc w:val="both"/>
        <w:rPr>
          <w:rFonts w:ascii="David" w:hAnsi="David"/>
          <w:rtl/>
        </w:rPr>
      </w:pPr>
      <w:r w:rsidRPr="00C13ED9">
        <w:rPr>
          <w:rFonts w:ascii="David" w:hAnsi="David" w:hint="cs"/>
          <w:b/>
          <w:bCs/>
          <w:u w:val="single"/>
          <w:rtl/>
        </w:rPr>
        <w:t>עונש מצטבר או חופף</w:t>
      </w:r>
    </w:p>
    <w:p w:rsidR="006E1BCE" w:rsidRPr="00C13ED9" w:rsidRDefault="006E1BCE" w:rsidP="006F553B">
      <w:pPr>
        <w:spacing w:line="360" w:lineRule="auto"/>
        <w:ind w:left="-199"/>
        <w:jc w:val="both"/>
        <w:rPr>
          <w:rFonts w:ascii="David" w:hAnsi="David"/>
          <w:rtl/>
        </w:rPr>
      </w:pPr>
      <w:r w:rsidRPr="00C13ED9">
        <w:rPr>
          <w:rFonts w:ascii="David" w:hAnsi="David" w:hint="cs"/>
          <w:rtl/>
        </w:rPr>
        <w:t xml:space="preserve">לאחר שקבעתי מתחם העונש ואת מיקום העבירה בתוכו, אתייחס לשאלה האם לצבור או לחפוף עונש זה לעונש שני מאסרי העולם שהושת על הנאשם. אשר לשאלה זו, אקדים הכרעתי להנמקתי - מקובלת עליי עמדת המאשימה באשר למדיניות הראויה לפיה יש להטיל עונש נפרד ומצטבר לעבירת הפציעה בנסיבות חמורות. </w:t>
      </w:r>
    </w:p>
    <w:p w:rsidR="006E1BCE" w:rsidRPr="00C13ED9" w:rsidRDefault="006E1BCE" w:rsidP="006F553B">
      <w:pPr>
        <w:spacing w:line="360" w:lineRule="auto"/>
        <w:ind w:left="-199"/>
        <w:jc w:val="both"/>
        <w:rPr>
          <w:rFonts w:ascii="David" w:hAnsi="David"/>
          <w:rtl/>
        </w:rPr>
      </w:pPr>
      <w:r w:rsidRPr="00C13ED9">
        <w:rPr>
          <w:rFonts w:ascii="David" w:hAnsi="David" w:hint="cs"/>
          <w:rtl/>
        </w:rPr>
        <w:t xml:space="preserve">בבסיס קביעתי, ההלכה הפסוקה, אשר נקבעה זה מכבר ובהתאם לה, </w:t>
      </w:r>
      <w:r w:rsidRPr="00C13ED9">
        <w:rPr>
          <w:rtl/>
        </w:rPr>
        <w:t>כאשר על הפרק עומדת פגיעה בשלמות גופם או חייהם של מספר קורבנות</w:t>
      </w:r>
      <w:r w:rsidRPr="00C13ED9">
        <w:rPr>
          <w:rFonts w:hint="cs"/>
          <w:rtl/>
        </w:rPr>
        <w:t xml:space="preserve">, יש בדרך כלל לראות בכל אחת מהעבירות כמעשה נפרד העומד בפני עצמו ויש לגזור בגין כל מעשה שכזה עונש נפרד. יפים לכך דברי כבוד השופטת דורנר </w:t>
      </w:r>
      <w:r w:rsidRPr="00C13ED9">
        <w:rPr>
          <w:rFonts w:ascii="Miriam" w:hAnsi="Miriam" w:cs="Miriam"/>
          <w:rtl/>
        </w:rPr>
        <w:t>בעניין פופר</w:t>
      </w:r>
      <w:r w:rsidRPr="00C13ED9">
        <w:rPr>
          <w:rFonts w:ascii="David" w:hAnsi="David" w:hint="cs"/>
          <w:rtl/>
        </w:rPr>
        <w:t xml:space="preserve"> כדלקמן: </w:t>
      </w:r>
    </w:p>
    <w:p w:rsidR="006E1BCE" w:rsidRPr="00C13ED9" w:rsidRDefault="006E1BCE" w:rsidP="006F553B">
      <w:pPr>
        <w:spacing w:line="360" w:lineRule="auto"/>
        <w:ind w:left="-199"/>
        <w:jc w:val="both"/>
        <w:rPr>
          <w:rFonts w:ascii="Miriam" w:hAnsi="Miriam" w:cs="Miriam"/>
          <w:rtl/>
        </w:rPr>
      </w:pPr>
      <w:r w:rsidRPr="00C13ED9">
        <w:rPr>
          <w:rFonts w:ascii="Miriam" w:hAnsi="Miriam" w:cs="Miriam"/>
          <w:rtl/>
        </w:rPr>
        <w:t>"...כאשר מדובר במעשי אלימות קיים לכל אחד מן הנפגעים אינטרס עצמאי לשלמות גופו. הפגיעה בשלמות גופו של אחד אינה מהווה פגיעה בשלמות גופו של אחר. גם אם מבחינה "טכנית" מדובר ברצף אחד של מעשים שגרם לקורבנות מספר, יש להתייחס לכך כאל מעשי פגיעה נפרדים.</w:t>
      </w:r>
    </w:p>
    <w:p w:rsidR="006E1BCE" w:rsidRPr="00C13ED9" w:rsidRDefault="006E1BCE" w:rsidP="006F553B">
      <w:pPr>
        <w:spacing w:line="360" w:lineRule="auto"/>
        <w:ind w:left="-199"/>
        <w:jc w:val="both"/>
        <w:rPr>
          <w:rFonts w:ascii="Miriam" w:hAnsi="Miriam" w:cs="Miriam"/>
          <w:rtl/>
        </w:rPr>
      </w:pPr>
      <w:r w:rsidRPr="00C13ED9">
        <w:rPr>
          <w:rFonts w:ascii="Miriam" w:hAnsi="Miriam" w:cs="Miriam"/>
          <w:rtl/>
        </w:rPr>
        <w:t>מסקנה זאת היא הכרחית גם מנקודת מבט מוסרית, המכירה בקדושת חייו של אדם כערך יסוד. ערך חיי האדם וסלידתנו העמוקה ממעשים הפוגעים בו חייבים למצוא ביטוי מפורש ונפרד גם במסגרת גזירת העונש, הן לעניין מספר העונשים שיש לגזור על הנאשם והן לעניין הצטברותם."</w:t>
      </w:r>
    </w:p>
    <w:p w:rsidR="006E1BCE" w:rsidRPr="00C13ED9" w:rsidRDefault="006E1BCE" w:rsidP="006F553B">
      <w:pPr>
        <w:spacing w:line="360" w:lineRule="auto"/>
        <w:ind w:left="-199"/>
        <w:jc w:val="both"/>
        <w:rPr>
          <w:rFonts w:ascii="David" w:hAnsi="David"/>
          <w:b/>
          <w:bCs/>
          <w:rtl/>
        </w:rPr>
      </w:pPr>
    </w:p>
    <w:p w:rsidR="006E1BCE" w:rsidRPr="00C13ED9" w:rsidRDefault="006E1BCE" w:rsidP="006F553B">
      <w:pPr>
        <w:spacing w:line="360" w:lineRule="auto"/>
        <w:ind w:left="-199"/>
        <w:jc w:val="both"/>
        <w:rPr>
          <w:rFonts w:ascii="David" w:hAnsi="David"/>
          <w:b/>
          <w:bCs/>
          <w:rtl/>
        </w:rPr>
      </w:pPr>
      <w:r w:rsidRPr="00C13ED9">
        <w:rPr>
          <w:rFonts w:hint="cs"/>
          <w:rtl/>
        </w:rPr>
        <w:t xml:space="preserve">(ראו גם </w:t>
      </w:r>
      <w:hyperlink r:id="rId10" w:history="1">
        <w:r w:rsidRPr="00C13ED9">
          <w:rPr>
            <w:rtl/>
          </w:rPr>
          <w:t>ע"פ 2948/03</w:t>
        </w:r>
      </w:hyperlink>
      <w:r w:rsidRPr="00C13ED9">
        <w:rPr>
          <w:rFonts w:hint="cs"/>
          <w:rtl/>
        </w:rPr>
        <w:t xml:space="preserve"> </w:t>
      </w:r>
      <w:r w:rsidRPr="00C13ED9">
        <w:rPr>
          <w:rFonts w:ascii="Miriam" w:hAnsi="Miriam" w:cs="Miriam"/>
          <w:rtl/>
        </w:rPr>
        <w:t>ברזובסקי נ' מדינת ישראל</w:t>
      </w:r>
      <w:r w:rsidRPr="00C13ED9">
        <w:rPr>
          <w:rFonts w:hint="cs"/>
          <w:rtl/>
        </w:rPr>
        <w:t xml:space="preserve"> (20.6.2005); </w:t>
      </w:r>
      <w:hyperlink r:id="rId11" w:history="1">
        <w:r w:rsidRPr="00C13ED9">
          <w:rPr>
            <w:rtl/>
          </w:rPr>
          <w:t>ע"פ 437/13</w:t>
        </w:r>
      </w:hyperlink>
      <w:r w:rsidRPr="00C13ED9">
        <w:rPr>
          <w:rFonts w:hint="cs"/>
          <w:rtl/>
        </w:rPr>
        <w:t xml:space="preserve"> </w:t>
      </w:r>
      <w:r w:rsidRPr="00C13ED9">
        <w:rPr>
          <w:rFonts w:ascii="Miriam" w:hAnsi="Miriam" w:cs="Miriam"/>
          <w:rtl/>
        </w:rPr>
        <w:t>אלחיאני נ' מדינת ישראל</w:t>
      </w:r>
      <w:r w:rsidRPr="00C13ED9">
        <w:rPr>
          <w:rFonts w:ascii="David" w:hAnsi="David"/>
          <w:rtl/>
        </w:rPr>
        <w:t xml:space="preserve"> (24.8.2015); </w:t>
      </w:r>
      <w:hyperlink r:id="rId12" w:history="1">
        <w:r w:rsidRPr="00C13ED9">
          <w:rPr>
            <w:rFonts w:ascii="David" w:hAnsi="David"/>
            <w:rtl/>
          </w:rPr>
          <w:t>ע"פ 6386/12</w:t>
        </w:r>
      </w:hyperlink>
      <w:r w:rsidRPr="00C13ED9">
        <w:rPr>
          <w:rFonts w:ascii="David" w:hAnsi="David"/>
          <w:rtl/>
        </w:rPr>
        <w:t xml:space="preserve"> </w:t>
      </w:r>
      <w:r w:rsidRPr="00C13ED9">
        <w:rPr>
          <w:rFonts w:ascii="Miriam" w:hAnsi="Miriam" w:cs="Miriam"/>
          <w:rtl/>
        </w:rPr>
        <w:t>עמנואלוב נ' מדינת ישראל</w:t>
      </w:r>
      <w:r w:rsidRPr="00C13ED9">
        <w:rPr>
          <w:rFonts w:ascii="David" w:hAnsi="David"/>
          <w:rtl/>
        </w:rPr>
        <w:t xml:space="preserve"> (6.12.2015)</w:t>
      </w:r>
      <w:r w:rsidRPr="00C13ED9">
        <w:rPr>
          <w:rFonts w:ascii="David" w:hAnsi="David" w:hint="cs"/>
          <w:rtl/>
        </w:rPr>
        <w:t xml:space="preserve"> (להלן: </w:t>
      </w:r>
      <w:r w:rsidRPr="00C13ED9">
        <w:rPr>
          <w:rFonts w:ascii="David" w:hAnsi="David" w:hint="cs"/>
          <w:b/>
          <w:bCs/>
          <w:rtl/>
        </w:rPr>
        <w:t>"עניין עמנואלוב"</w:t>
      </w:r>
      <w:r w:rsidRPr="00C13ED9">
        <w:rPr>
          <w:rFonts w:ascii="David" w:hAnsi="David" w:hint="cs"/>
          <w:rtl/>
        </w:rPr>
        <w:t>)</w:t>
      </w:r>
      <w:r w:rsidRPr="00C13ED9">
        <w:rPr>
          <w:rFonts w:ascii="David" w:hAnsi="David"/>
          <w:rtl/>
        </w:rPr>
        <w:t xml:space="preserve">). </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rtl/>
        </w:rPr>
      </w:pPr>
      <w:r w:rsidRPr="00C13ED9">
        <w:rPr>
          <w:rFonts w:hint="cs"/>
          <w:rtl/>
        </w:rPr>
        <w:t>ודוקו, בענייננו ההגנה אינה חולקת על כך שמעשי ההמתה ומעשה הפציעה מהווים מעשים נפרדים המחייבים הטלת עונשים נפרדים והמחלוקת נותרה כאמור רק בשאלת הצטברות העונשים.</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rtl/>
        </w:rPr>
      </w:pPr>
      <w:r w:rsidRPr="00C13ED9">
        <w:rPr>
          <w:rFonts w:hint="cs"/>
          <w:rtl/>
        </w:rPr>
        <w:t>אשר לכך, לאורך השנים התוו בתי המשפט את השיקולים המנחים בהכרעה מתי לגזור עונש מצטבר ומתי להעדיף חפיפת עונשים. בין היתר נקבע כי בית המשפט ישקול את סוג העבירות בהן הורשע הנאשם ואת חומרתן, את אופי המעשים, את חומרת הפגיעה בקורבן, את הזיקה בין המעשים השונים, יבחן שיקולי גמול והרתעה ועוד (</w:t>
      </w:r>
      <w:r w:rsidRPr="00C13ED9">
        <w:rPr>
          <w:rFonts w:ascii="David" w:hAnsi="David"/>
          <w:rtl/>
        </w:rPr>
        <w:t xml:space="preserve">ראו </w:t>
      </w:r>
      <w:hyperlink r:id="rId13" w:history="1">
        <w:r w:rsidRPr="00C13ED9">
          <w:rPr>
            <w:rFonts w:ascii="David" w:hAnsi="David"/>
            <w:rtl/>
          </w:rPr>
          <w:t>ע"פ 9059/03</w:t>
        </w:r>
      </w:hyperlink>
      <w:r w:rsidRPr="00C13ED9">
        <w:rPr>
          <w:rFonts w:ascii="David" w:hAnsi="David"/>
          <w:rtl/>
        </w:rPr>
        <w:t xml:space="preserve"> </w:t>
      </w:r>
      <w:r w:rsidRPr="00C13ED9">
        <w:rPr>
          <w:rFonts w:ascii="Miriam" w:hAnsi="Miriam" w:cs="Miriam"/>
          <w:rtl/>
        </w:rPr>
        <w:t>אהרון יוסבשוילי נ' מדינת ישראל</w:t>
      </w:r>
      <w:r w:rsidRPr="00C13ED9">
        <w:rPr>
          <w:rFonts w:ascii="David" w:hAnsi="David" w:hint="cs"/>
          <w:rtl/>
        </w:rPr>
        <w:t xml:space="preserve"> (21.03.2007) </w:t>
      </w:r>
      <w:r w:rsidRPr="00C13ED9">
        <w:rPr>
          <w:rFonts w:ascii="David" w:hAnsi="David"/>
          <w:rtl/>
        </w:rPr>
        <w:t xml:space="preserve">וכן </w:t>
      </w:r>
      <w:hyperlink r:id="rId14" w:history="1">
        <w:r w:rsidRPr="00C13ED9">
          <w:rPr>
            <w:rFonts w:ascii="David" w:hAnsi="David"/>
            <w:rtl/>
          </w:rPr>
          <w:t xml:space="preserve">דנ"פ 8086/01 </w:t>
        </w:r>
        <w:r w:rsidRPr="00C13ED9">
          <w:rPr>
            <w:rFonts w:ascii="Miriam" w:hAnsi="Miriam" w:cs="Miriam"/>
            <w:rtl/>
          </w:rPr>
          <w:t>אייזן נ' מדינת ישראל</w:t>
        </w:r>
        <w:r w:rsidRPr="00C13ED9">
          <w:rPr>
            <w:rFonts w:ascii="David" w:hAnsi="David"/>
            <w:rtl/>
          </w:rPr>
          <w:t>, פ"ד נט</w:t>
        </w:r>
      </w:hyperlink>
      <w:r w:rsidRPr="00C13ED9">
        <w:rPr>
          <w:rFonts w:ascii="David" w:hAnsi="David"/>
          <w:rtl/>
        </w:rPr>
        <w:t xml:space="preserve"> (5) 625, 647 (2005); </w:t>
      </w:r>
      <w:hyperlink r:id="rId15" w:history="1">
        <w:r w:rsidRPr="00C13ED9">
          <w:rPr>
            <w:rFonts w:ascii="David" w:hAnsi="David"/>
            <w:rtl/>
          </w:rPr>
          <w:t>ע"פ 6867/06</w:t>
        </w:r>
      </w:hyperlink>
      <w:r w:rsidRPr="00C13ED9">
        <w:rPr>
          <w:rFonts w:ascii="David" w:hAnsi="David"/>
          <w:rtl/>
        </w:rPr>
        <w:t xml:space="preserve"> </w:t>
      </w:r>
      <w:r w:rsidRPr="00C13ED9">
        <w:rPr>
          <w:rFonts w:ascii="Miriam" w:hAnsi="Miriam" w:cs="Miriam"/>
          <w:rtl/>
        </w:rPr>
        <w:t>עזאם נ' מדינת ישראל</w:t>
      </w:r>
      <w:r w:rsidRPr="00C13ED9">
        <w:rPr>
          <w:rFonts w:ascii="David" w:hAnsi="David"/>
          <w:rtl/>
        </w:rPr>
        <w:t xml:space="preserve"> (12.10.2008); </w:t>
      </w:r>
      <w:hyperlink r:id="rId16" w:history="1">
        <w:r w:rsidRPr="00C13ED9">
          <w:rPr>
            <w:rFonts w:ascii="David" w:hAnsi="David"/>
            <w:rtl/>
          </w:rPr>
          <w:t>ע"פ 1707/08</w:t>
        </w:r>
      </w:hyperlink>
      <w:r w:rsidRPr="00C13ED9">
        <w:rPr>
          <w:rFonts w:ascii="David" w:hAnsi="David"/>
          <w:rtl/>
        </w:rPr>
        <w:t xml:space="preserve"> </w:t>
      </w:r>
      <w:r w:rsidRPr="00C13ED9">
        <w:rPr>
          <w:rFonts w:ascii="Miriam" w:hAnsi="Miriam" w:cs="Miriam"/>
          <w:rtl/>
        </w:rPr>
        <w:t>אריש נ' מדינת ישראל</w:t>
      </w:r>
      <w:r w:rsidRPr="00C13ED9">
        <w:rPr>
          <w:rFonts w:ascii="David" w:hAnsi="David"/>
          <w:rtl/>
        </w:rPr>
        <w:t xml:space="preserve"> (25.11.2008);</w:t>
      </w:r>
      <w:r w:rsidRPr="00C13ED9">
        <w:rPr>
          <w:rFonts w:ascii="David" w:hAnsi="David" w:hint="cs"/>
          <w:rtl/>
        </w:rPr>
        <w:t xml:space="preserve"> </w:t>
      </w:r>
      <w:r w:rsidRPr="00C13ED9">
        <w:rPr>
          <w:rFonts w:ascii="Miriam" w:hAnsi="Miriam" w:cs="Miriam"/>
          <w:rtl/>
        </w:rPr>
        <w:t>עניין עמנואלוב</w:t>
      </w:r>
      <w:r w:rsidRPr="00C13ED9">
        <w:rPr>
          <w:rFonts w:ascii="David" w:hAnsi="David"/>
          <w:rtl/>
        </w:rPr>
        <w:t xml:space="preserve"> הנ"ל, פסקה 46; </w:t>
      </w:r>
      <w:hyperlink r:id="rId17" w:history="1">
        <w:r w:rsidRPr="00C13ED9">
          <w:rPr>
            <w:rFonts w:ascii="David" w:hAnsi="David"/>
            <w:rtl/>
          </w:rPr>
          <w:t>ע"פ 10153/07</w:t>
        </w:r>
      </w:hyperlink>
      <w:r w:rsidRPr="00C13ED9">
        <w:rPr>
          <w:rFonts w:ascii="David" w:hAnsi="David"/>
          <w:rtl/>
        </w:rPr>
        <w:t xml:space="preserve"> </w:t>
      </w:r>
      <w:r w:rsidRPr="00C13ED9">
        <w:rPr>
          <w:rFonts w:ascii="Miriam" w:hAnsi="Miriam" w:cs="Miriam"/>
          <w:rtl/>
        </w:rPr>
        <w:t>קייסי נ' מדינת ישראל</w:t>
      </w:r>
      <w:r w:rsidRPr="00C13ED9">
        <w:rPr>
          <w:rFonts w:ascii="David" w:hAnsi="David"/>
          <w:rtl/>
        </w:rPr>
        <w:t xml:space="preserve"> (30.7.2012)). </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rtl/>
        </w:rPr>
      </w:pPr>
      <w:r w:rsidRPr="00C13ED9">
        <w:rPr>
          <w:rFonts w:ascii="David" w:hAnsi="David" w:hint="cs"/>
          <w:rtl/>
        </w:rPr>
        <w:t>ביישום התוויות אלו, נקבע על ידי בתי המשפט,</w:t>
      </w:r>
      <w:r w:rsidRPr="00C13ED9">
        <w:rPr>
          <w:rFonts w:ascii="David" w:hAnsi="David"/>
          <w:rtl/>
        </w:rPr>
        <w:t xml:space="preserve"> כי בעבירת הרצח אליה נוספו עבירות נלוות, חומרת העבירה מצדיקה, בדרך כלל, הטלת עונשי מאסר במצטבר (ראו </w:t>
      </w:r>
      <w:r w:rsidRPr="00C13ED9">
        <w:rPr>
          <w:rFonts w:ascii="David" w:hAnsi="David" w:hint="cs"/>
          <w:rtl/>
        </w:rPr>
        <w:t xml:space="preserve">ע"פ 6535/01 </w:t>
      </w:r>
      <w:r w:rsidRPr="00C13ED9">
        <w:rPr>
          <w:rFonts w:ascii="Miriam" w:hAnsi="Miriam" w:cs="Miriam"/>
          <w:rtl/>
        </w:rPr>
        <w:t>קוזירוב נ' מדינת ישראל</w:t>
      </w:r>
      <w:r w:rsidRPr="00C13ED9">
        <w:rPr>
          <w:rFonts w:ascii="David" w:hAnsi="David" w:hint="cs"/>
          <w:rtl/>
        </w:rPr>
        <w:t xml:space="preserve">, פ"ד נז(3) 562, 571 (להלן: </w:t>
      </w:r>
      <w:r w:rsidRPr="00C13ED9">
        <w:rPr>
          <w:rFonts w:ascii="David" w:hAnsi="David" w:hint="cs"/>
          <w:b/>
          <w:bCs/>
          <w:rtl/>
        </w:rPr>
        <w:t>"עניין קוזירוב"</w:t>
      </w:r>
      <w:r w:rsidRPr="00C13ED9">
        <w:rPr>
          <w:rFonts w:ascii="David" w:hAnsi="David" w:hint="cs"/>
          <w:rtl/>
        </w:rPr>
        <w:t xml:space="preserve">); </w:t>
      </w:r>
      <w:hyperlink r:id="rId18" w:history="1">
        <w:r w:rsidRPr="00C13ED9">
          <w:rPr>
            <w:rFonts w:ascii="David" w:hAnsi="David"/>
            <w:rtl/>
          </w:rPr>
          <w:t>ע"פ 2933/08</w:t>
        </w:r>
      </w:hyperlink>
      <w:r w:rsidRPr="00C13ED9">
        <w:rPr>
          <w:rFonts w:ascii="David" w:hAnsi="David"/>
          <w:rtl/>
        </w:rPr>
        <w:t xml:space="preserve"> </w:t>
      </w:r>
      <w:r w:rsidRPr="00C13ED9">
        <w:rPr>
          <w:rFonts w:ascii="Miriam" w:hAnsi="Miriam" w:cs="Miriam"/>
          <w:rtl/>
        </w:rPr>
        <w:t>אנג'ל נ' מדינת ישראל</w:t>
      </w:r>
      <w:r w:rsidRPr="00C13ED9">
        <w:rPr>
          <w:rFonts w:ascii="David" w:hAnsi="David"/>
          <w:rtl/>
        </w:rPr>
        <w:t xml:space="preserve">, פסקה 17 (15.12.2012), בעמ' 568-571; </w:t>
      </w:r>
      <w:hyperlink r:id="rId19" w:history="1">
        <w:r w:rsidRPr="00C13ED9">
          <w:rPr>
            <w:rFonts w:ascii="David" w:hAnsi="David"/>
            <w:rtl/>
          </w:rPr>
          <w:t>ע"פ 6244/12</w:t>
        </w:r>
      </w:hyperlink>
      <w:r w:rsidRPr="00C13ED9">
        <w:rPr>
          <w:rFonts w:ascii="David" w:hAnsi="David"/>
          <w:rtl/>
        </w:rPr>
        <w:t xml:space="preserve"> </w:t>
      </w:r>
      <w:r w:rsidRPr="00C13ED9">
        <w:rPr>
          <w:rFonts w:ascii="Miriam" w:hAnsi="Miriam" w:cs="Miriam"/>
          <w:rtl/>
        </w:rPr>
        <w:t>סבאענה נ' מדינת ישראל</w:t>
      </w:r>
      <w:r w:rsidRPr="00C13ED9">
        <w:rPr>
          <w:rFonts w:ascii="David" w:hAnsi="David"/>
          <w:rtl/>
        </w:rPr>
        <w:t xml:space="preserve"> (11.11.2015)).</w:t>
      </w:r>
      <w:r w:rsidRPr="00C13ED9">
        <w:rPr>
          <w:rFonts w:ascii="David" w:hAnsi="David" w:hint="cs"/>
          <w:rtl/>
        </w:rPr>
        <w:t xml:space="preserve"> כך </w:t>
      </w:r>
      <w:r w:rsidRPr="00C13ED9">
        <w:rPr>
          <w:rFonts w:ascii="Miriam" w:hAnsi="Miriam" w:cs="Miriam"/>
          <w:rtl/>
        </w:rPr>
        <w:t>בעניין קוזירוב</w:t>
      </w:r>
      <w:r w:rsidRPr="00C13ED9">
        <w:rPr>
          <w:rFonts w:ascii="David" w:hAnsi="David" w:hint="cs"/>
          <w:rtl/>
        </w:rPr>
        <w:t xml:space="preserve"> נקבע כדלקמן:</w:t>
      </w:r>
    </w:p>
    <w:p w:rsidR="006E1BCE" w:rsidRPr="00C13ED9" w:rsidRDefault="006E1BCE" w:rsidP="006F553B">
      <w:pPr>
        <w:spacing w:line="360" w:lineRule="auto"/>
        <w:ind w:left="-199"/>
        <w:jc w:val="both"/>
        <w:rPr>
          <w:rFonts w:ascii="Miriam" w:hAnsi="Miriam" w:cs="Miriam"/>
          <w:rtl/>
        </w:rPr>
      </w:pPr>
      <w:r w:rsidRPr="00C13ED9">
        <w:rPr>
          <w:rFonts w:ascii="Miriam" w:hAnsi="Miriam" w:cs="Miriam"/>
          <w:rtl/>
        </w:rPr>
        <w:t>"כך הוא בעבירות רצח וכך הוא בעבירות אחרות, עבירות הפוגעות בערכים חשובים של הפרט ושל הכלל, של היחיד ושל החברה. ראו עוד והשוו: ע"פ 597/88 אנג'ל נ' מדינת ישראל [12], בעמ' 256-253; ע"פ 1849/90 שחאדה נ' מדינת ישראל [13]; פרשות מנשרוב [9], חכמי [5] וגיוסי [10], לעיל.</w:t>
      </w:r>
    </w:p>
    <w:p w:rsidR="006E1BCE" w:rsidRPr="00C13ED9" w:rsidRDefault="006E1BCE" w:rsidP="006F553B">
      <w:pPr>
        <w:spacing w:line="360" w:lineRule="auto"/>
        <w:ind w:left="-199"/>
        <w:jc w:val="both"/>
        <w:rPr>
          <w:rFonts w:ascii="Miriam" w:hAnsi="Miriam" w:cs="Miriam"/>
          <w:rtl/>
        </w:rPr>
      </w:pPr>
      <w:r w:rsidRPr="00C13ED9">
        <w:rPr>
          <w:rFonts w:ascii="Miriam" w:hAnsi="Miriam" w:cs="Miriam"/>
          <w:rtl/>
        </w:rPr>
        <w:lastRenderedPageBreak/>
        <w:t>בענייננו אמנם אין מדובר בכמה מעשי רצח, ואולם הלכות שנקבעו תלמדנה אותנו כי עבירות חמורות, עבירות שבוצעו בנסיבות קשות, עבירות שבוצעו בברוטליות, עבירות הפוגעות באינטרסים יקרים לחברה – אלה עשויות – באשר הן – להצדיק ענישה מצטברת על מי שהורשע בדינו. והכול כמובן בנסיבותיו של כל מקרה ומקרה."</w:t>
      </w:r>
    </w:p>
    <w:p w:rsidR="006E1BCE" w:rsidRPr="00C13ED9" w:rsidRDefault="006E1BCE" w:rsidP="006F553B">
      <w:pPr>
        <w:spacing w:line="360" w:lineRule="auto"/>
        <w:ind w:left="-199"/>
        <w:jc w:val="both"/>
        <w:rPr>
          <w:rFonts w:ascii="David" w:hAnsi="David"/>
          <w:b/>
          <w:bCs/>
          <w:rtl/>
        </w:rPr>
      </w:pPr>
    </w:p>
    <w:p w:rsidR="006E1BCE" w:rsidRPr="00C13ED9" w:rsidRDefault="006E1BCE" w:rsidP="006F553B">
      <w:pPr>
        <w:spacing w:line="360" w:lineRule="auto"/>
        <w:ind w:left="-199"/>
        <w:jc w:val="both"/>
        <w:rPr>
          <w:rtl/>
        </w:rPr>
      </w:pPr>
      <w:r w:rsidRPr="00C13ED9">
        <w:rPr>
          <w:rFonts w:ascii="David" w:hAnsi="David" w:hint="cs"/>
          <w:rtl/>
        </w:rPr>
        <w:t xml:space="preserve">וכן שוב לאחרונה </w:t>
      </w:r>
      <w:r w:rsidRPr="00C13ED9">
        <w:rPr>
          <w:rFonts w:ascii="Miriam" w:hAnsi="Miriam" w:cs="Miriam"/>
          <w:rtl/>
        </w:rPr>
        <w:t>בעניין גורבאן</w:t>
      </w:r>
      <w:r w:rsidRPr="00C13ED9">
        <w:rPr>
          <w:rFonts w:hint="cs"/>
          <w:rtl/>
        </w:rPr>
        <w:t xml:space="preserve"> קבע בית המשפט העליון כי:  </w:t>
      </w:r>
    </w:p>
    <w:p w:rsidR="006E1BCE" w:rsidRPr="00C13ED9" w:rsidRDefault="006E1BCE" w:rsidP="006F553B">
      <w:pPr>
        <w:spacing w:line="360" w:lineRule="auto"/>
        <w:ind w:left="-199"/>
        <w:jc w:val="both"/>
        <w:rPr>
          <w:rFonts w:ascii="Miriam" w:hAnsi="Miriam" w:cs="Miriam"/>
          <w:rtl/>
        </w:rPr>
      </w:pPr>
      <w:r w:rsidRPr="00C13ED9">
        <w:rPr>
          <w:rFonts w:ascii="Miriam" w:hAnsi="Miriam" w:cs="Miriam"/>
          <w:rtl/>
        </w:rPr>
        <w:t>"על דרך הכלל, בעבירת רצח אליה נוספו עבירות נלוות, חומרת העבירה מצדיקה הטלת עונשי מאסר במצטבר (ראו סעיף 21 לגזר הדין והאסמכתאות המובאות שם) ועל הטעמים לכך, ביניהם המוסר, ושיקולי ההרתעה והגמול. כפי שציין בית המשפט קמא, חפיפת עונשים במקרה כזה גם אינה מתיישבת עם עקרון ההלימה שהוא העיקרון המנחה בענישה, משהעונש ההולם מעשים שהביאו לנטילת חיים של קורבן אחד ולסיכון חיי קורבן נוסף ואף לפגיעה פיזית בו, אינו יכול להיות אותו עונש שהולם נטילת חייו של אדם אחד בלבד. טעמים אלו מקובלים עליי וגם אני סבור כי לנוכח חומרת העבירות בהן הורשע המערער ומשיקולי גמול והרתעה – אין להתערב בקביעת בית המשפט קמא כי העונשים יוטלו במצטבר. כל אדם הוא עולם במלואו."</w:t>
      </w:r>
    </w:p>
    <w:p w:rsidR="006E1BCE" w:rsidRPr="00C13ED9" w:rsidRDefault="006E1BCE" w:rsidP="006F553B">
      <w:pPr>
        <w:spacing w:line="360" w:lineRule="auto"/>
        <w:ind w:left="-199"/>
        <w:jc w:val="both"/>
        <w:rPr>
          <w:rFonts w:ascii="Arial" w:hAnsi="Arial"/>
          <w:rtl/>
        </w:rPr>
      </w:pPr>
    </w:p>
    <w:p w:rsidR="006E1BCE" w:rsidRPr="00C13ED9" w:rsidRDefault="006E1BCE" w:rsidP="006F553B">
      <w:pPr>
        <w:spacing w:line="360" w:lineRule="auto"/>
        <w:ind w:left="-199"/>
        <w:jc w:val="both"/>
        <w:rPr>
          <w:rFonts w:ascii="David" w:hAnsi="David"/>
          <w:rtl/>
        </w:rPr>
      </w:pPr>
      <w:r w:rsidRPr="00C13ED9">
        <w:rPr>
          <w:rFonts w:ascii="Arial" w:hAnsi="Arial" w:hint="cs"/>
          <w:u w:val="single"/>
          <w:rtl/>
        </w:rPr>
        <w:t>מן הכלל אל הפרט</w:t>
      </w:r>
      <w:r w:rsidRPr="00C13ED9">
        <w:rPr>
          <w:rFonts w:ascii="Arial" w:hAnsi="Arial" w:hint="cs"/>
          <w:rtl/>
        </w:rPr>
        <w:t xml:space="preserve"> </w:t>
      </w:r>
      <w:r w:rsidRPr="00C13ED9">
        <w:rPr>
          <w:rFonts w:ascii="Arial" w:hAnsi="Arial"/>
          <w:rtl/>
        </w:rPr>
        <w:t>–</w:t>
      </w:r>
      <w:r w:rsidRPr="00C13ED9">
        <w:rPr>
          <w:rFonts w:ascii="Arial" w:hAnsi="Arial" w:hint="cs"/>
          <w:rtl/>
        </w:rPr>
        <w:t xml:space="preserve"> במקרה דנן,  עבירת פציעתו של ז.מ. אירעה תוך כדי ביצוע שתי עבירות רצח </w:t>
      </w:r>
      <w:r w:rsidRPr="00C13ED9">
        <w:rPr>
          <w:rFonts w:ascii="Arial" w:hAnsi="Arial"/>
          <w:rtl/>
        </w:rPr>
        <w:t>–</w:t>
      </w:r>
      <w:r w:rsidRPr="00C13ED9">
        <w:rPr>
          <w:rFonts w:ascii="Arial" w:hAnsi="Arial" w:hint="cs"/>
          <w:rtl/>
        </w:rPr>
        <w:t xml:space="preserve"> האחת של אמו של ז.מ. והשנייה של דודתו נורית. בין עבירות הרצח לבין עבירת פציעתו של ז.מ. קיימת זיקה הדוקה  שכן הנאשם פגע בז.מ., תוך כדי שדקר והמית את נורית ז"ל. הנני סבורה כי יישום ההלכה הפסוקה במקרה דנן, בו כאמור ארעה העבירה תוך כדי ביצוע רצח, כאשר קיימת זיקה בין העבירות, מחייב ביטוי הולם בענישה. יתרה מכך, הנני סבורה כי הטלת עונש אחד כולל, תחטיא את המטרה לבטא את החומרה שבנטילת חיי אדם ואת החומרה הרבה שיש גם בסיכון חיי אדם נוספים ובפגיעה בשלמות גופם וכי רק ענישה נפרדת לכל אחד ממעשי עבירה אלו תבטא את הפגיעה בערך של קדושת החיים ואת החומרה הרבה שיש במעשי הנאשם. </w:t>
      </w:r>
    </w:p>
    <w:p w:rsidR="006E1BCE" w:rsidRPr="00C13ED9" w:rsidRDefault="006E1BCE" w:rsidP="006F553B">
      <w:pPr>
        <w:spacing w:line="360" w:lineRule="auto"/>
        <w:ind w:left="-199"/>
        <w:jc w:val="both"/>
        <w:rPr>
          <w:rFonts w:ascii="David" w:hAnsi="David"/>
          <w:rtl/>
        </w:rPr>
      </w:pPr>
    </w:p>
    <w:p w:rsidR="006E1BCE" w:rsidRPr="00C13ED9" w:rsidRDefault="00050CDD" w:rsidP="006F553B">
      <w:pPr>
        <w:spacing w:line="360" w:lineRule="auto"/>
        <w:ind w:left="-199"/>
        <w:jc w:val="both"/>
        <w:rPr>
          <w:rFonts w:ascii="David" w:hAnsi="David"/>
          <w:rtl/>
        </w:rPr>
      </w:pPr>
      <w:r w:rsidRPr="00C13ED9">
        <w:rPr>
          <w:rFonts w:ascii="Arial" w:hAnsi="Arial" w:hint="cs"/>
          <w:rtl/>
        </w:rPr>
        <w:lastRenderedPageBreak/>
        <w:t xml:space="preserve">בשקלול כל המפורט, </w:t>
      </w:r>
      <w:r w:rsidR="006E1BCE" w:rsidRPr="00C13ED9">
        <w:rPr>
          <w:rFonts w:ascii="Arial" w:hAnsi="Arial" w:hint="cs"/>
          <w:rtl/>
        </w:rPr>
        <w:t xml:space="preserve">הגעתי לכלל מסקנה, כי עונש המאסר </w:t>
      </w:r>
      <w:r w:rsidRPr="00C13ED9">
        <w:rPr>
          <w:rFonts w:ascii="Arial" w:hAnsi="Arial" w:hint="cs"/>
          <w:rtl/>
        </w:rPr>
        <w:t xml:space="preserve">בפועל </w:t>
      </w:r>
      <w:r w:rsidR="006E1BCE" w:rsidRPr="00C13ED9">
        <w:rPr>
          <w:rFonts w:ascii="Arial" w:hAnsi="Arial" w:hint="cs"/>
          <w:rtl/>
        </w:rPr>
        <w:t xml:space="preserve">בשל עבירת הפציעה בנסיבות מחמירות ירוצה מחציתו בחופף ומחציתו במצטבר לשני עונשי מאסרי העולם </w:t>
      </w:r>
      <w:r w:rsidR="00B10B70">
        <w:rPr>
          <w:rFonts w:ascii="Arial" w:hAnsi="Arial" w:hint="cs"/>
          <w:rtl/>
        </w:rPr>
        <w:t xml:space="preserve">המצטברים </w:t>
      </w:r>
      <w:r w:rsidR="006E1BCE" w:rsidRPr="00C13ED9">
        <w:rPr>
          <w:rFonts w:ascii="Arial" w:hAnsi="Arial" w:hint="cs"/>
          <w:rtl/>
        </w:rPr>
        <w:t>בגין עבירות הרצח.</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u w:val="single"/>
          <w:rtl/>
        </w:rPr>
      </w:pPr>
      <w:r w:rsidRPr="00C13ED9">
        <w:rPr>
          <w:rFonts w:ascii="David" w:hAnsi="David"/>
          <w:b/>
          <w:bCs/>
          <w:u w:val="single"/>
          <w:rtl/>
        </w:rPr>
        <w:t>אשר לפיצוי לנפגע</w:t>
      </w:r>
      <w:r w:rsidRPr="00C13ED9">
        <w:rPr>
          <w:rFonts w:ascii="David" w:hAnsi="David" w:hint="cs"/>
          <w:b/>
          <w:bCs/>
          <w:u w:val="single"/>
          <w:rtl/>
        </w:rPr>
        <w:t>י</w:t>
      </w:r>
      <w:r w:rsidRPr="00C13ED9">
        <w:rPr>
          <w:rFonts w:ascii="David" w:hAnsi="David"/>
          <w:b/>
          <w:bCs/>
          <w:u w:val="single"/>
          <w:rtl/>
        </w:rPr>
        <w:t xml:space="preserve"> העבירה</w:t>
      </w:r>
      <w:r w:rsidRPr="00C13ED9">
        <w:rPr>
          <w:rFonts w:ascii="David" w:hAnsi="David" w:hint="cs"/>
          <w:u w:val="single"/>
          <w:rtl/>
        </w:rPr>
        <w:t>-</w:t>
      </w:r>
    </w:p>
    <w:p w:rsidR="006E1BCE" w:rsidRPr="00C13ED9" w:rsidRDefault="006E1BCE" w:rsidP="006F553B">
      <w:pPr>
        <w:spacing w:line="360" w:lineRule="auto"/>
        <w:ind w:left="-199"/>
        <w:jc w:val="both"/>
        <w:rPr>
          <w:rFonts w:ascii="David" w:hAnsi="David"/>
          <w:rtl/>
        </w:rPr>
      </w:pPr>
      <w:r w:rsidRPr="00C13ED9">
        <w:rPr>
          <w:rFonts w:ascii="David" w:hAnsi="David"/>
          <w:rtl/>
        </w:rPr>
        <w:t xml:space="preserve">הפסיקה חזרה ושנתה כי הפיצוי לפי סעיף 77 לחוק העונשין, הגם שהוא מצוי בסביבה פלילית- עונשית הוא בעל רכיב אזרחי דומיננטי. זאת משנקבע כי אין הוא בא להטיל עונש נוסף על הנאשם, אלא שתכליתו שיפוי נפגע העבירה בגין נזקיו והכל תוך שניתן לו סעד מיידי, מבלי שייאלץ להמתין לסיום ההליכים האזרחיים בעניינו ולעיתים – אם יסתפק בפיצוי – יחסכו ממנו ההליכים האזרחיים כמו גם המפגש המחודש עם העבריין שפגע בו. עוד משרת הפיצוי ערכים של הכרה חברתית בסבלו של הנפגע, העלאת מעמדו של קורבן העבירה כחלק מהמגמה לשלבו בהליך הפלילי ולהכיר בזכויותיו במסגרת הליך זה ואף יסוד של היטהרות לעבריין עצמו, שחיובו בפיצוי לטובת הנפגע עשוי לתרום לשיקומו (ראו: רע"פ 9727/05 </w:t>
      </w:r>
      <w:r w:rsidRPr="00C13ED9">
        <w:rPr>
          <w:rFonts w:ascii="Miriam" w:hAnsi="Miriam" w:cs="Miriam"/>
          <w:rtl/>
        </w:rPr>
        <w:t>פלוני נ' מדינת ישראל</w:t>
      </w:r>
      <w:r w:rsidRPr="00C13ED9">
        <w:rPr>
          <w:rFonts w:ascii="David" w:hAnsi="David"/>
          <w:rtl/>
        </w:rPr>
        <w:t xml:space="preserve"> (8.8.2007); ע"פ 6452/09 </w:t>
      </w:r>
      <w:r w:rsidRPr="00C13ED9">
        <w:rPr>
          <w:rFonts w:ascii="Miriam" w:hAnsi="Miriam" w:cs="Miriam"/>
          <w:rtl/>
        </w:rPr>
        <w:t>קאסם עלי נ' מדינת ישראל</w:t>
      </w:r>
      <w:r w:rsidRPr="00C13ED9">
        <w:rPr>
          <w:rFonts w:ascii="David" w:hAnsi="David"/>
          <w:rtl/>
        </w:rPr>
        <w:t xml:space="preserve"> (22.07.2010), בסעיף 9 לפסק הדין; ע"פ 8745/08 </w:t>
      </w:r>
      <w:r w:rsidRPr="00C13ED9">
        <w:rPr>
          <w:rFonts w:ascii="Miriam" w:hAnsi="Miriam" w:cs="Miriam"/>
          <w:rtl/>
        </w:rPr>
        <w:t>פלוני נגד מדינת ישראל</w:t>
      </w:r>
      <w:r w:rsidRPr="00C13ED9">
        <w:rPr>
          <w:rFonts w:ascii="David" w:hAnsi="David"/>
          <w:rtl/>
        </w:rPr>
        <w:t xml:space="preserve"> (30.11.2011), בסעיף 30 לפסק הדין). עוד נקבע כי שיעור הפיצוי יקבע בדרך של אומדנא דדיינא, מבלי להידרש לפרוצדורה האזרחית ה"רגילה" (ע"פ 2196/10 </w:t>
      </w:r>
      <w:r w:rsidRPr="00C13ED9">
        <w:rPr>
          <w:rFonts w:ascii="Miriam" w:hAnsi="Miriam" w:cs="Miriam"/>
          <w:rtl/>
        </w:rPr>
        <w:t>אגבריה נגד מדינת ישראל</w:t>
      </w:r>
      <w:r w:rsidRPr="00C13ED9">
        <w:rPr>
          <w:rFonts w:ascii="David" w:hAnsi="David"/>
          <w:rtl/>
        </w:rPr>
        <w:t xml:space="preserve"> (8.3.2012), בסעיף כב' לפסק הדין).</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rtl/>
        </w:rPr>
      </w:pPr>
      <w:r w:rsidRPr="00C13ED9">
        <w:rPr>
          <w:rFonts w:ascii="David" w:hAnsi="David"/>
          <w:rtl/>
        </w:rPr>
        <w:t>נוסף על כך נקבע במסגרת הפסיקה כי שיעור הפיצוי שייפסק לטובת נפגע עבירה אינו קשור ליכולתו הכלכלית של הנאשם "</w:t>
      </w:r>
      <w:r w:rsidRPr="00C13ED9">
        <w:rPr>
          <w:rFonts w:ascii="Miriam" w:hAnsi="Miriam" w:cs="Miriam"/>
          <w:rtl/>
        </w:rPr>
        <w:t>ואינו כרוך ביכולת החייב - אלא בעיצומו של המעשה</w:t>
      </w:r>
      <w:r w:rsidRPr="00C13ED9">
        <w:rPr>
          <w:rFonts w:ascii="David" w:hAnsi="David"/>
          <w:rtl/>
        </w:rPr>
        <w:t xml:space="preserve">." (ע"פ 5761/05 </w:t>
      </w:r>
      <w:r w:rsidRPr="00C13ED9">
        <w:rPr>
          <w:rFonts w:ascii="Miriam" w:hAnsi="Miriam" w:cs="Miriam"/>
          <w:rtl/>
        </w:rPr>
        <w:t>וחידי מג'דלאוי נ' מדינת ישראל</w:t>
      </w:r>
      <w:r w:rsidRPr="00C13ED9">
        <w:rPr>
          <w:rFonts w:ascii="David" w:hAnsi="David"/>
          <w:rtl/>
        </w:rPr>
        <w:t xml:space="preserve"> (24.07.2006), בסעיפים ט'-י' לפסק הדין; ע"פ 3873/08 </w:t>
      </w:r>
      <w:r w:rsidRPr="00C13ED9">
        <w:rPr>
          <w:rFonts w:ascii="Miriam" w:hAnsi="Miriam" w:cs="Miriam"/>
          <w:rtl/>
        </w:rPr>
        <w:t>שמעון אטיאס נ' מדינת ישראל</w:t>
      </w:r>
      <w:r w:rsidRPr="00C13ED9">
        <w:rPr>
          <w:rFonts w:ascii="David" w:hAnsi="David"/>
          <w:rtl/>
        </w:rPr>
        <w:t xml:space="preserve"> (06.09.2010) בסעיף 140 לפסק הדין; ע"פ 2661/12 </w:t>
      </w:r>
      <w:r w:rsidRPr="00C13ED9">
        <w:rPr>
          <w:rFonts w:ascii="Miriam" w:hAnsi="Miriam" w:cs="Miriam"/>
          <w:rtl/>
        </w:rPr>
        <w:t>פלוני נ' מדינת ישראל</w:t>
      </w:r>
      <w:r w:rsidRPr="00C13ED9">
        <w:rPr>
          <w:rFonts w:ascii="David" w:hAnsi="David"/>
          <w:rtl/>
        </w:rPr>
        <w:t xml:space="preserve"> (19.11.2012), בסעיף 35 לפסק הדין; ע"פ 10102/07 </w:t>
      </w:r>
      <w:r w:rsidRPr="00C13ED9">
        <w:rPr>
          <w:rFonts w:ascii="Miriam" w:hAnsi="Miriam" w:cs="Miriam"/>
          <w:rtl/>
        </w:rPr>
        <w:t>פלוני נ' מדינת ישראל</w:t>
      </w:r>
      <w:r w:rsidRPr="00C13ED9">
        <w:rPr>
          <w:rFonts w:ascii="David" w:hAnsi="David"/>
          <w:rtl/>
        </w:rPr>
        <w:t xml:space="preserve"> (07.09.2010) בסעיף 81 לפסק הדין). </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rtl/>
        </w:rPr>
      </w:pPr>
      <w:r w:rsidRPr="00C13ED9">
        <w:rPr>
          <w:rFonts w:ascii="David" w:hAnsi="David"/>
          <w:rtl/>
        </w:rPr>
        <w:lastRenderedPageBreak/>
        <w:t>בעניינו, לית מן דפליג כי לנפגע</w:t>
      </w:r>
      <w:r w:rsidRPr="00C13ED9">
        <w:rPr>
          <w:rFonts w:ascii="David" w:hAnsi="David" w:hint="cs"/>
          <w:rtl/>
        </w:rPr>
        <w:t>י</w:t>
      </w:r>
      <w:r w:rsidRPr="00C13ED9">
        <w:rPr>
          <w:rFonts w:ascii="David" w:hAnsi="David"/>
          <w:rtl/>
        </w:rPr>
        <w:t xml:space="preserve"> העבירה נגרמו נזקים נפשיים קשים כפועל יוצא מהעבירה, </w:t>
      </w:r>
      <w:r w:rsidRPr="00C13ED9">
        <w:rPr>
          <w:rFonts w:ascii="David" w:hAnsi="David" w:hint="cs"/>
          <w:rtl/>
        </w:rPr>
        <w:t>זאת ראשית בהינתן שהעבירות הובילו לקיפוח חייהן של אמהותיהן של הנפגעים, על כל המשתמע מכך שאין כל צורך להכביר בו במילים. לכך יש להוסיף את ה</w:t>
      </w:r>
      <w:r w:rsidRPr="00C13ED9">
        <w:rPr>
          <w:rFonts w:ascii="David" w:hAnsi="David"/>
          <w:rtl/>
        </w:rPr>
        <w:t>אכזריות בה בוצע</w:t>
      </w:r>
      <w:r w:rsidRPr="00C13ED9">
        <w:rPr>
          <w:rFonts w:ascii="David" w:hAnsi="David" w:hint="cs"/>
          <w:rtl/>
        </w:rPr>
        <w:t>ו</w:t>
      </w:r>
      <w:r w:rsidRPr="00C13ED9">
        <w:rPr>
          <w:rFonts w:ascii="David" w:hAnsi="David"/>
          <w:rtl/>
        </w:rPr>
        <w:t xml:space="preserve"> </w:t>
      </w:r>
      <w:r w:rsidRPr="00C13ED9">
        <w:rPr>
          <w:rFonts w:ascii="David" w:hAnsi="David" w:hint="cs"/>
          <w:rtl/>
        </w:rPr>
        <w:t>הרציחות</w:t>
      </w:r>
      <w:r w:rsidRPr="00C13ED9">
        <w:rPr>
          <w:rFonts w:ascii="David" w:hAnsi="David"/>
          <w:rtl/>
        </w:rPr>
        <w:t xml:space="preserve"> – דקירות הסכין הרבות</w:t>
      </w:r>
      <w:r w:rsidRPr="00C13ED9">
        <w:rPr>
          <w:rFonts w:ascii="David" w:hAnsi="David" w:hint="cs"/>
          <w:rtl/>
        </w:rPr>
        <w:t>,</w:t>
      </w:r>
      <w:r w:rsidRPr="00C13ED9">
        <w:rPr>
          <w:rFonts w:ascii="David" w:hAnsi="David"/>
          <w:rtl/>
        </w:rPr>
        <w:t xml:space="preserve"> תוך שהנאשם מתעלם מזעקותיה</w:t>
      </w:r>
      <w:r w:rsidRPr="00C13ED9">
        <w:rPr>
          <w:rFonts w:ascii="David" w:hAnsi="David" w:hint="cs"/>
          <w:rtl/>
        </w:rPr>
        <w:t>ן</w:t>
      </w:r>
      <w:r w:rsidRPr="00C13ED9">
        <w:rPr>
          <w:rFonts w:ascii="David" w:hAnsi="David"/>
          <w:rtl/>
        </w:rPr>
        <w:t xml:space="preserve"> של </w:t>
      </w:r>
      <w:r w:rsidRPr="00C13ED9">
        <w:rPr>
          <w:rFonts w:ascii="David" w:hAnsi="David" w:hint="cs"/>
          <w:rtl/>
        </w:rPr>
        <w:t>המנוחות ושל יתר בני המשפחה ובעת שהקטינים נפגעי העבירה שוכבים במיטה ליד נורית ז"ל בעת שהנאשם דוקר אותה למוות</w:t>
      </w:r>
      <w:r w:rsidRPr="00C13ED9">
        <w:rPr>
          <w:rFonts w:ascii="David" w:hAnsi="David"/>
          <w:rtl/>
        </w:rPr>
        <w:t xml:space="preserve">. </w:t>
      </w:r>
      <w:r w:rsidRPr="00C13ED9">
        <w:rPr>
          <w:rFonts w:ascii="David" w:hAnsi="David" w:hint="cs"/>
          <w:rtl/>
        </w:rPr>
        <w:t xml:space="preserve">זאת ועוד, פסיקת פיצוי גבוה לנפגעי העבירה עולה בקנה אחד עם פסיקתם העקבית של בתי המשפט אשר </w:t>
      </w:r>
      <w:r w:rsidRPr="00C13ED9">
        <w:rPr>
          <w:rFonts w:ascii="David" w:hAnsi="David"/>
          <w:rtl/>
        </w:rPr>
        <w:t xml:space="preserve">חזרו ופסקו בעבירת רצח את הפיצוי המקסימלי הקבוע בחוק (ראו לדוגמא: ע"פ 4087/14 </w:t>
      </w:r>
      <w:r w:rsidRPr="00C13ED9">
        <w:rPr>
          <w:rFonts w:ascii="Miriam" w:hAnsi="Miriam" w:cs="Miriam"/>
          <w:rtl/>
        </w:rPr>
        <w:t>דימטרי סקורדוק נ' מדינת ישראל</w:t>
      </w:r>
      <w:r w:rsidRPr="00C13ED9">
        <w:rPr>
          <w:rFonts w:ascii="David" w:hAnsi="David"/>
          <w:rtl/>
        </w:rPr>
        <w:t xml:space="preserve"> (05.01.2017); ע"פ 7090/15 </w:t>
      </w:r>
      <w:r w:rsidRPr="00C13ED9">
        <w:rPr>
          <w:rFonts w:ascii="Miriam" w:hAnsi="Miriam" w:cs="Miriam"/>
          <w:rtl/>
        </w:rPr>
        <w:t>חוסיין ח'ליפה נ' מדינת ישראל</w:t>
      </w:r>
      <w:r w:rsidRPr="00C13ED9">
        <w:rPr>
          <w:rFonts w:ascii="David" w:hAnsi="David"/>
          <w:rtl/>
        </w:rPr>
        <w:t xml:space="preserve"> (25.08.2016); ע"פ 8512/14 </w:t>
      </w:r>
      <w:r w:rsidRPr="00C13ED9">
        <w:rPr>
          <w:rFonts w:ascii="Miriam" w:hAnsi="Miriam" w:cs="Miriam"/>
          <w:rtl/>
        </w:rPr>
        <w:t>אנה קומשין נ' מדינת ישראל</w:t>
      </w:r>
      <w:r w:rsidRPr="00C13ED9">
        <w:rPr>
          <w:rFonts w:ascii="David" w:hAnsi="David"/>
          <w:rtl/>
        </w:rPr>
        <w:t xml:space="preserve"> (18.07.2016); ע"פ 1769/14 </w:t>
      </w:r>
      <w:r w:rsidRPr="00C13ED9">
        <w:rPr>
          <w:rFonts w:ascii="Miriam" w:hAnsi="Miriam" w:cs="Miriam"/>
          <w:rtl/>
        </w:rPr>
        <w:t>חמד סועאד נ' מדינת ישראל</w:t>
      </w:r>
      <w:r w:rsidRPr="00C13ED9">
        <w:rPr>
          <w:rFonts w:ascii="David" w:hAnsi="David"/>
          <w:rtl/>
        </w:rPr>
        <w:t xml:space="preserve"> (27.01.2016); ע"פ 6304/12 </w:t>
      </w:r>
      <w:r w:rsidRPr="00C13ED9">
        <w:rPr>
          <w:rFonts w:ascii="Miriam" w:hAnsi="Miriam" w:cs="Miriam"/>
          <w:rtl/>
        </w:rPr>
        <w:t>אלכסנדר ספרונוב נ' מדינת ישראל</w:t>
      </w:r>
      <w:r w:rsidRPr="00C13ED9">
        <w:rPr>
          <w:rFonts w:ascii="David" w:hAnsi="David"/>
          <w:rtl/>
        </w:rPr>
        <w:t xml:space="preserve"> (26.01.2015)).</w:t>
      </w:r>
    </w:p>
    <w:p w:rsidR="006E1BCE" w:rsidRPr="00C13ED9" w:rsidRDefault="006E1BCE" w:rsidP="006F553B">
      <w:pPr>
        <w:spacing w:line="360" w:lineRule="auto"/>
        <w:ind w:left="-199"/>
        <w:jc w:val="both"/>
        <w:rPr>
          <w:rFonts w:ascii="David" w:hAnsi="David"/>
          <w:rtl/>
        </w:rPr>
      </w:pPr>
    </w:p>
    <w:p w:rsidR="006E1BCE" w:rsidRPr="00C13ED9" w:rsidRDefault="006E1BCE" w:rsidP="006F553B">
      <w:pPr>
        <w:spacing w:line="360" w:lineRule="auto"/>
        <w:ind w:left="-199"/>
        <w:jc w:val="both"/>
        <w:rPr>
          <w:rFonts w:ascii="David" w:hAnsi="David"/>
          <w:rtl/>
        </w:rPr>
      </w:pPr>
      <w:r w:rsidRPr="00C13ED9">
        <w:rPr>
          <w:rFonts w:ascii="David" w:hAnsi="David"/>
          <w:rtl/>
        </w:rPr>
        <w:t>כפי שהובהר ואף אינו שנוי במחלוקת, מצבו הכלכלי של הנאשם אין בו בכדי להשפיע על גובה הפיצוי שיפסק. כאמור ההגנה אינה חולקת על כך אלא שלטענתה</w:t>
      </w:r>
      <w:r w:rsidRPr="00C13ED9">
        <w:rPr>
          <w:rFonts w:ascii="David" w:hAnsi="David" w:hint="cs"/>
          <w:rtl/>
        </w:rPr>
        <w:t xml:space="preserve"> יש לפסוק פיצוי שהנאשם יוכל תיאורטית לעמוד בו וזאת, על מנת שהקטינים יקבלו בפועל את הפיצוי שיפסק לטובתם. אשר לטיעון זה, אציין כי טיעון דומה שימש כחלק מקביעתה של כב' הנשיאה (בדימוס) חיות ב</w:t>
      </w:r>
      <w:r w:rsidRPr="00C13ED9">
        <w:rPr>
          <w:rFonts w:ascii="David" w:hAnsi="David"/>
          <w:rtl/>
        </w:rPr>
        <w:t xml:space="preserve">דנ"פ 5625/16 </w:t>
      </w:r>
      <w:r w:rsidRPr="00C13ED9">
        <w:rPr>
          <w:rFonts w:ascii="Miriam" w:hAnsi="Miriam" w:cs="Miriam"/>
          <w:rtl/>
        </w:rPr>
        <w:t>אסרף קארין נ' אבנר טווק בוקובזה</w:t>
      </w:r>
      <w:r w:rsidRPr="00C13ED9">
        <w:rPr>
          <w:rFonts w:ascii="David" w:hAnsi="David"/>
          <w:rtl/>
        </w:rPr>
        <w:t xml:space="preserve"> ( 13.09.2017)</w:t>
      </w:r>
      <w:r w:rsidRPr="00C13ED9">
        <w:rPr>
          <w:rFonts w:ascii="David" w:hAnsi="David" w:hint="cs"/>
          <w:rtl/>
        </w:rPr>
        <w:t xml:space="preserve">. באותו עניין, כחלק מההנמקה ולפיה יוגבל סכום הפיצוי הכולל לכלל הנפגעים מעבירה אחת לתקרה הקבועה בסעיף 77 לחוק, צויין על ידי כב' הנשיאה (כתוארה אז) חיות כי, הניסיון שנצבר מעבר לים, מלמד כי </w:t>
      </w:r>
      <w:r w:rsidRPr="00C13ED9">
        <w:rPr>
          <w:rFonts w:ascii="David" w:hAnsi="David"/>
          <w:rtl/>
        </w:rPr>
        <w:t>חיוב הנאשם בתשלום פיצויים בסכומים גבוהים במיוחד הוליכה לתוצאה שלפיה לא שולם דבר והיא הולידה תסכול ואי אמון מצד נפגעי העבירה ולפגיעה בסיכויי השיקום של העבריין אשר מצדו איבד כל</w:t>
      </w:r>
      <w:r w:rsidRPr="00C13ED9">
        <w:rPr>
          <w:rFonts w:ascii="David" w:hAnsi="David" w:hint="cs"/>
          <w:rtl/>
        </w:rPr>
        <w:t xml:space="preserve"> </w:t>
      </w:r>
      <w:r w:rsidRPr="00C13ED9">
        <w:rPr>
          <w:rFonts w:ascii="David" w:hAnsi="David"/>
          <w:rtl/>
        </w:rPr>
        <w:t xml:space="preserve">מוטיביציה לתשלום בהינתן הסכום </w:t>
      </w:r>
      <w:r w:rsidRPr="00C13ED9">
        <w:rPr>
          <w:rFonts w:ascii="David" w:hAnsi="David" w:hint="cs"/>
          <w:rtl/>
        </w:rPr>
        <w:t xml:space="preserve">שנפסק (שם. בסעיף 32) אלא, שאל מול טיעון זה, הובהרה התכלית העומדת בבסיס מתן פיצוי בהתאם להוראת סעיף 77 לחוק וכן היתרונות הגלומים בפיצוי זה ובכלל כך -  </w:t>
      </w:r>
      <w:r w:rsidRPr="00C13ED9">
        <w:rPr>
          <w:rFonts w:ascii="David" w:hAnsi="David"/>
          <w:rtl/>
        </w:rPr>
        <w:t>לתת ביטוי במסגרת ההליך הפלילי לנזקו ולסבלו של הניזוק מן העבירה</w:t>
      </w:r>
      <w:r w:rsidRPr="00C13ED9">
        <w:rPr>
          <w:rFonts w:ascii="David" w:hAnsi="David" w:hint="cs"/>
          <w:rtl/>
        </w:rPr>
        <w:t>, לה</w:t>
      </w:r>
      <w:r w:rsidRPr="00C13ED9">
        <w:rPr>
          <w:rFonts w:ascii="David" w:hAnsi="David"/>
          <w:rtl/>
        </w:rPr>
        <w:t>עניק לקורבן העבירה פיצוי מהיר ויעיל</w:t>
      </w:r>
      <w:r w:rsidRPr="00C13ED9">
        <w:rPr>
          <w:rFonts w:ascii="David" w:hAnsi="David" w:hint="cs"/>
          <w:rtl/>
        </w:rPr>
        <w:t xml:space="preserve"> אשר יכול שיהיה בו כדי </w:t>
      </w:r>
      <w:r w:rsidRPr="00C13ED9">
        <w:rPr>
          <w:rFonts w:ascii="David" w:hAnsi="David"/>
          <w:rtl/>
        </w:rPr>
        <w:t xml:space="preserve">לחסוך מן הנפגע את הצורך לנהל הליך אזרחי אם יסתפק בסכום הפיצוי שקיבל בהליך הפלילי, כפיצוי המבטא הכרה חברתית בסבלו ובמעמדו כנפגע העבירה </w:t>
      </w:r>
      <w:r w:rsidRPr="00C13ED9">
        <w:rPr>
          <w:rFonts w:ascii="David" w:hAnsi="David" w:hint="cs"/>
          <w:rtl/>
        </w:rPr>
        <w:t xml:space="preserve">וכן, </w:t>
      </w:r>
      <w:r w:rsidRPr="00C13ED9">
        <w:rPr>
          <w:rFonts w:ascii="David" w:hAnsi="David"/>
          <w:rtl/>
        </w:rPr>
        <w:t>מתן צדק מהיר וזול לנפגע העבירה במסגרת הליך המנוהל על ידי המדינה תוך שימוש במשאביה לפסיקת הפיצוי וגבייתו</w:t>
      </w:r>
      <w:r w:rsidRPr="00C13ED9">
        <w:rPr>
          <w:rFonts w:ascii="David" w:hAnsi="David" w:hint="cs"/>
          <w:rtl/>
        </w:rPr>
        <w:t xml:space="preserve"> (ראו סעיפים 14-17 לפסק הדין). בשים לב לכל אלו, בשורת ההכרעה בעניין אסרף נקבע </w:t>
      </w:r>
      <w:r w:rsidRPr="00C13ED9">
        <w:rPr>
          <w:rFonts w:ascii="David" w:hAnsi="David" w:hint="cs"/>
          <w:rtl/>
        </w:rPr>
        <w:lastRenderedPageBreak/>
        <w:t xml:space="preserve">כי הסכום כפי שנקבע בסעיף 77 ופסיקת הפיצוי בגין כל עבירה בשיעור שלא יעלה בסך הכל על הסך הקבוע בסעיף 77, יש בהם כדי לאזן נכונה ובאופן מדוד את </w:t>
      </w:r>
      <w:r w:rsidRPr="00C13ED9">
        <w:rPr>
          <w:rFonts w:ascii="David" w:hAnsi="David"/>
          <w:rtl/>
        </w:rPr>
        <w:t xml:space="preserve"> מכלול השיקולים</w:t>
      </w:r>
      <w:r w:rsidRPr="00C13ED9">
        <w:rPr>
          <w:rFonts w:ascii="David" w:hAnsi="David" w:hint="cs"/>
          <w:rtl/>
        </w:rPr>
        <w:t xml:space="preserve"> הצריכים לעניין הן מנקודת הראות של הניזוקים והן מנקודת ראותו של הנאשם. (שם. בסעיף 34). בנסיבות אלו, אינני סבורה כי יש מקום לקבל טיעוניה של ההגנה ולהפחית (הלכה למעשה פעם נוספת) מסכום הפיצוי הקבוע בסעיף 77, שבמסגרתו הובאו כבר לידי ביטוי טיעונים אלו. (ראו בדומה פסיקת בית המשפט העליון ב</w:t>
      </w:r>
      <w:r w:rsidRPr="00C13ED9">
        <w:rPr>
          <w:rFonts w:ascii="David" w:hAnsi="David"/>
          <w:rtl/>
        </w:rPr>
        <w:t xml:space="preserve">ע"פ 2418/17 </w:t>
      </w:r>
      <w:r w:rsidRPr="00C13ED9">
        <w:rPr>
          <w:rFonts w:ascii="Miriam" w:hAnsi="Miriam" w:cs="Miriam"/>
          <w:rtl/>
        </w:rPr>
        <w:t>חאלד קוטינה נ' מדינת ישראל</w:t>
      </w:r>
      <w:r w:rsidRPr="00C13ED9">
        <w:rPr>
          <w:rFonts w:ascii="David" w:hAnsi="David"/>
          <w:rtl/>
        </w:rPr>
        <w:t xml:space="preserve"> (25.10.2018)</w:t>
      </w:r>
      <w:r w:rsidRPr="00C13ED9">
        <w:rPr>
          <w:rFonts w:ascii="David" w:hAnsi="David" w:hint="cs"/>
          <w:rtl/>
        </w:rPr>
        <w:t xml:space="preserve">, בסעיף 29, אשר דחה טענות דומות שנטענו על ידי ההגנה). </w:t>
      </w:r>
    </w:p>
    <w:p w:rsidR="006E1BCE" w:rsidRPr="00C13ED9" w:rsidRDefault="006E1BCE" w:rsidP="006F553B">
      <w:pPr>
        <w:spacing w:line="360" w:lineRule="auto"/>
        <w:ind w:left="-199"/>
        <w:jc w:val="both"/>
        <w:rPr>
          <w:rFonts w:ascii="David" w:hAnsi="David"/>
          <w:rtl/>
        </w:rPr>
      </w:pPr>
      <w:r w:rsidRPr="00C13ED9">
        <w:rPr>
          <w:rFonts w:ascii="David" w:hAnsi="David" w:hint="cs"/>
          <w:rtl/>
        </w:rPr>
        <w:t>בנסיבות אלו, נוכח הפגיעה המשמעותית בקטינים ובהלימה לפסיקה כפי שפורטה,</w:t>
      </w:r>
      <w:r w:rsidRPr="00C13ED9">
        <w:rPr>
          <w:rFonts w:ascii="David" w:hAnsi="David"/>
          <w:rtl/>
        </w:rPr>
        <w:t xml:space="preserve"> הנני מוצאת כי יש להשית על הנאשם את מלוא הפיצוי הקבוע בחוק בסך 258,000 ש"ח</w:t>
      </w:r>
      <w:r w:rsidRPr="00C13ED9">
        <w:rPr>
          <w:rFonts w:ascii="David" w:hAnsi="David" w:hint="cs"/>
          <w:rtl/>
        </w:rPr>
        <w:t xml:space="preserve">, בגין כל אחת מעבירות הרצח בהן הורשע, לניזוקים מכל אחת מהעבירות </w:t>
      </w:r>
      <w:r w:rsidRPr="00C13ED9">
        <w:rPr>
          <w:rFonts w:ascii="David" w:hAnsi="David"/>
          <w:rtl/>
        </w:rPr>
        <w:t>–</w:t>
      </w:r>
      <w:r w:rsidRPr="00C13ED9">
        <w:rPr>
          <w:rFonts w:ascii="David" w:hAnsi="David" w:hint="cs"/>
          <w:rtl/>
        </w:rPr>
        <w:t xml:space="preserve"> קרי לכל אחד מבניהן של המנוחות </w:t>
      </w:r>
      <w:r w:rsidRPr="00C13ED9">
        <w:rPr>
          <w:rFonts w:ascii="David" w:hAnsi="David"/>
          <w:rtl/>
        </w:rPr>
        <w:t>–</w:t>
      </w:r>
      <w:r w:rsidRPr="00C13ED9">
        <w:rPr>
          <w:rFonts w:ascii="David" w:hAnsi="David" w:hint="cs"/>
          <w:rtl/>
        </w:rPr>
        <w:t xml:space="preserve"> ז.מ. בנה של חאית ז"ל וא.ח. בנה הקטין של נורית ז"ל (ראו בדומה פסיקת בית המשפט העליון בעניין קוטינה הנזכר לעיל).</w:t>
      </w:r>
    </w:p>
    <w:p w:rsidR="006E1BCE" w:rsidRPr="00C13ED9" w:rsidRDefault="006E1BCE" w:rsidP="006F553B">
      <w:pPr>
        <w:spacing w:line="360" w:lineRule="auto"/>
        <w:ind w:left="-199"/>
        <w:jc w:val="both"/>
        <w:rPr>
          <w:rFonts w:ascii="David" w:hAnsi="David"/>
          <w:rtl/>
        </w:rPr>
      </w:pPr>
      <w:r w:rsidRPr="00C13ED9">
        <w:rPr>
          <w:rFonts w:ascii="David" w:hAnsi="David" w:hint="cs"/>
          <w:rtl/>
        </w:rPr>
        <w:t>בכל הנוגע לפסיקת הפיצוי במלואו לילדיהן הקטינים של המנוחות, מקובלת עליי עמדת המאשימה, ולפיה חרף המלצת תסקיר נפגעי העבירה, לפסוק פיצוי כספי לאמן ואחיהן של המנוחות, הרי שיש להעמיד את מלוא הפיצוי לזכות ילדיהן הקטינים של המנוחות. זאת הואיל וממילא בכך יהא כדי להביא מזור לדאגה העיקרית אשר הובעה על ידי אמן ואחיהן של המנוחות, שהיא הדאגה לקטינים ולעתידם. לאור זאת, כפי שקבעתי הנני מוצאת לקבוע כי מלוא סכום הפיצוי יפסק לקטינים ולא לאם ולאח.</w:t>
      </w:r>
    </w:p>
    <w:p w:rsidR="006E1BCE" w:rsidRPr="00C13ED9" w:rsidRDefault="006E1BCE" w:rsidP="006F553B">
      <w:pPr>
        <w:spacing w:line="360" w:lineRule="auto"/>
        <w:ind w:left="-199"/>
        <w:jc w:val="both"/>
        <w:rPr>
          <w:rFonts w:ascii="David" w:hAnsi="David"/>
          <w:u w:val="single"/>
          <w:rtl/>
        </w:rPr>
      </w:pPr>
    </w:p>
    <w:p w:rsidR="006E1BCE" w:rsidRPr="00C13ED9" w:rsidRDefault="006E1BCE" w:rsidP="006F553B">
      <w:pPr>
        <w:spacing w:line="360" w:lineRule="auto"/>
        <w:ind w:left="-199"/>
        <w:jc w:val="both"/>
        <w:rPr>
          <w:rFonts w:ascii="David" w:hAnsi="David"/>
          <w:b/>
          <w:bCs/>
          <w:u w:val="single"/>
          <w:rtl/>
        </w:rPr>
      </w:pPr>
      <w:r w:rsidRPr="00C13ED9">
        <w:rPr>
          <w:rFonts w:ascii="David" w:hAnsi="David"/>
          <w:b/>
          <w:bCs/>
          <w:u w:val="single"/>
          <w:rtl/>
        </w:rPr>
        <w:t xml:space="preserve">לאור כל האמור, </w:t>
      </w:r>
      <w:r w:rsidRPr="00C13ED9">
        <w:rPr>
          <w:rFonts w:ascii="David" w:hAnsi="David" w:hint="cs"/>
          <w:b/>
          <w:bCs/>
          <w:u w:val="single"/>
          <w:rtl/>
        </w:rPr>
        <w:t xml:space="preserve">אציע </w:t>
      </w:r>
      <w:r w:rsidRPr="00C13ED9">
        <w:rPr>
          <w:rFonts w:ascii="David" w:hAnsi="David"/>
          <w:b/>
          <w:bCs/>
          <w:u w:val="single"/>
          <w:rtl/>
        </w:rPr>
        <w:t xml:space="preserve"> לחבריי להטיל על הנאשם את העונשים הבאים: </w:t>
      </w:r>
    </w:p>
    <w:p w:rsidR="004B1358" w:rsidRPr="00C13ED9" w:rsidRDefault="004B1358" w:rsidP="004B1358">
      <w:pPr>
        <w:pStyle w:val="ab"/>
        <w:numPr>
          <w:ilvl w:val="0"/>
          <w:numId w:val="5"/>
        </w:numPr>
        <w:tabs>
          <w:tab w:val="left" w:pos="312"/>
        </w:tabs>
        <w:spacing w:line="360" w:lineRule="auto"/>
        <w:jc w:val="both"/>
        <w:rPr>
          <w:rFonts w:ascii="David" w:hAnsi="David" w:cs="David"/>
          <w:sz w:val="24"/>
          <w:szCs w:val="24"/>
        </w:rPr>
      </w:pPr>
      <w:r w:rsidRPr="00C13ED9">
        <w:rPr>
          <w:rFonts w:ascii="David" w:hAnsi="David" w:cs="David"/>
          <w:sz w:val="24"/>
          <w:szCs w:val="24"/>
          <w:rtl/>
        </w:rPr>
        <w:t>שני מאסרי עולם חובה שירוצו במצטבר וכן 18 חודשי מאסר בפועל, מתוכם 9 חודשים במצטבר והיתר בחופף.</w:t>
      </w:r>
    </w:p>
    <w:p w:rsidR="00B361A3" w:rsidRPr="00C13ED9" w:rsidRDefault="006E1BCE" w:rsidP="00B361A3">
      <w:pPr>
        <w:pStyle w:val="ab"/>
        <w:numPr>
          <w:ilvl w:val="0"/>
          <w:numId w:val="5"/>
        </w:numPr>
        <w:tabs>
          <w:tab w:val="left" w:pos="312"/>
          <w:tab w:val="left" w:pos="595"/>
        </w:tabs>
        <w:spacing w:line="360" w:lineRule="auto"/>
        <w:jc w:val="both"/>
        <w:rPr>
          <w:rFonts w:ascii="David" w:hAnsi="David" w:cs="David"/>
          <w:sz w:val="24"/>
          <w:szCs w:val="24"/>
        </w:rPr>
      </w:pPr>
      <w:r w:rsidRPr="00C13ED9">
        <w:rPr>
          <w:rFonts w:ascii="David" w:hAnsi="David" w:cs="David"/>
          <w:sz w:val="24"/>
          <w:szCs w:val="24"/>
          <w:rtl/>
        </w:rPr>
        <w:t>פיצוי בסך של 258,000 ₪ לכל אחד מבניהן הקטינים של המנוחות.</w:t>
      </w:r>
    </w:p>
    <w:p w:rsidR="00975746" w:rsidRPr="00C13ED9" w:rsidRDefault="006E1BCE" w:rsidP="00596657">
      <w:pPr>
        <w:pStyle w:val="ab"/>
        <w:tabs>
          <w:tab w:val="left" w:pos="312"/>
          <w:tab w:val="left" w:pos="595"/>
        </w:tabs>
        <w:spacing w:line="360" w:lineRule="auto"/>
        <w:ind w:left="161"/>
        <w:jc w:val="both"/>
        <w:rPr>
          <w:rFonts w:ascii="David" w:hAnsi="David" w:cs="David"/>
          <w:sz w:val="24"/>
          <w:szCs w:val="24"/>
          <w:rtl/>
        </w:rPr>
      </w:pPr>
      <w:r w:rsidRPr="00C13ED9">
        <w:rPr>
          <w:rFonts w:ascii="David" w:hAnsi="David" w:cs="David"/>
          <w:sz w:val="24"/>
          <w:szCs w:val="24"/>
          <w:rtl/>
        </w:rPr>
        <w:t>סכומי הפיצוי כפי שנקבעו יופקדו בקופת בית המשפט ב- 20 תשלומים חודשיים, רצופים ושווים, החל מיום 1.3.24 ובכל ראשון לחודש שלאחר מכן. לא יופקד כל תשלום מסכום הפיצויים האמורים במלואו ובמועדו, הרי שמלוא סכום הפיצויים יעמוד לפירעון מידי ויישא הפרשי הצמדה וריבית כחוק מהיום שבו אמור היה הנאשם לשלמו, ועד למועד תשלומו המלא בפועל.</w:t>
      </w:r>
    </w:p>
    <w:p w:rsidR="00975746" w:rsidRPr="00C13ED9" w:rsidRDefault="00975746" w:rsidP="006F553B">
      <w:pPr>
        <w:ind w:left="-199"/>
        <w:rPr>
          <w:rFonts w:ascii="Arial (W1)" w:hAnsi="Arial (W1)"/>
        </w:rPr>
      </w:pPr>
    </w:p>
    <w:tbl>
      <w:tblPr>
        <w:tblStyle w:val="a9"/>
        <w:bidiVisual/>
        <w:tblW w:w="0" w:type="auto"/>
        <w:jc w:val="right"/>
        <w:tblBorders>
          <w:top w:val="none" w:sz="0" w:space="0" w:color="auto"/>
          <w:left w:val="none" w:sz="0" w:space="0" w:color="auto"/>
          <w:bottom w:val="none" w:sz="0" w:space="0" w:color="auto"/>
          <w:right w:val="none" w:sz="0" w:space="0" w:color="auto"/>
          <w:insideV w:val="none" w:sz="0" w:space="0" w:color="auto"/>
        </w:tblBorders>
        <w:tblLayout w:type="fixed"/>
        <w:tblLook w:val="01E0" w:firstRow="1" w:lastRow="1" w:firstColumn="1" w:lastColumn="1" w:noHBand="0" w:noVBand="0"/>
      </w:tblPr>
      <w:tblGrid>
        <w:gridCol w:w="2512"/>
      </w:tblGrid>
      <w:tr w:rsidR="00975746" w:rsidRPr="00C13ED9" w:rsidTr="00975746">
        <w:trPr>
          <w:trHeight w:val="1492"/>
          <w:jc w:val="right"/>
        </w:trPr>
        <w:tc>
          <w:tcPr>
            <w:tcW w:w="2512" w:type="dxa"/>
            <w:tcBorders>
              <w:top w:val="nil"/>
              <w:left w:val="nil"/>
              <w:bottom w:val="single" w:sz="4" w:space="0" w:color="auto"/>
              <w:right w:val="nil"/>
            </w:tcBorders>
            <w:hideMark/>
          </w:tcPr>
          <w:p w:rsidR="00975746" w:rsidRPr="00C13ED9" w:rsidRDefault="00975746" w:rsidP="006F553B">
            <w:pPr>
              <w:tabs>
                <w:tab w:val="left" w:pos="5426"/>
              </w:tabs>
              <w:spacing w:line="360" w:lineRule="auto"/>
              <w:ind w:left="-199"/>
              <w:jc w:val="center"/>
              <w:rPr>
                <w:rFonts w:asciiTheme="minorHAnsi" w:hAnsiTheme="minorHAnsi"/>
              </w:rPr>
            </w:pPr>
            <w:r w:rsidRPr="00C13ED9">
              <w:rPr>
                <w:rFonts w:asciiTheme="minorHAnsi" w:hAnsiTheme="minorHAnsi"/>
                <w:noProof/>
              </w:rPr>
              <w:drawing>
                <wp:inline distT="0" distB="0" distL="0" distR="0">
                  <wp:extent cx="1028700" cy="876300"/>
                  <wp:effectExtent l="0" t="0" r="0" b="0"/>
                  <wp:docPr id="5" name="תמונה 5" descr="023874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02387459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28700" cy="876300"/>
                          </a:xfrm>
                          <a:prstGeom prst="rect">
                            <a:avLst/>
                          </a:prstGeom>
                          <a:noFill/>
                          <a:ln>
                            <a:noFill/>
                          </a:ln>
                        </pic:spPr>
                      </pic:pic>
                    </a:graphicData>
                  </a:graphic>
                </wp:inline>
              </w:drawing>
            </w:r>
          </w:p>
        </w:tc>
      </w:tr>
      <w:tr w:rsidR="00975746" w:rsidRPr="00C13ED9" w:rsidTr="00975746">
        <w:trPr>
          <w:trHeight w:val="473"/>
          <w:jc w:val="right"/>
        </w:trPr>
        <w:tc>
          <w:tcPr>
            <w:tcW w:w="2512" w:type="dxa"/>
            <w:tcBorders>
              <w:top w:val="single" w:sz="4" w:space="0" w:color="auto"/>
              <w:left w:val="nil"/>
              <w:bottom w:val="nil"/>
              <w:right w:val="nil"/>
            </w:tcBorders>
            <w:hideMark/>
          </w:tcPr>
          <w:p w:rsidR="00975746" w:rsidRPr="00C13ED9" w:rsidRDefault="00975746" w:rsidP="006F553B">
            <w:pPr>
              <w:spacing w:line="360" w:lineRule="auto"/>
              <w:ind w:left="-199"/>
              <w:jc w:val="center"/>
              <w:rPr>
                <w:rFonts w:ascii="Courier New" w:hAnsi="Courier New"/>
                <w:b/>
                <w:bCs/>
              </w:rPr>
            </w:pPr>
            <w:r w:rsidRPr="00C13ED9">
              <w:rPr>
                <w:rFonts w:ascii="Courier New" w:hAnsi="Courier New"/>
                <w:b/>
                <w:bCs/>
                <w:rtl/>
              </w:rPr>
              <w:t>לימור ביבי, שופטת</w:t>
            </w:r>
          </w:p>
        </w:tc>
      </w:tr>
    </w:tbl>
    <w:p w:rsidR="00975746" w:rsidRPr="00C13ED9" w:rsidRDefault="00975746" w:rsidP="00596657">
      <w:pPr>
        <w:spacing w:line="360" w:lineRule="auto"/>
        <w:jc w:val="both"/>
        <w:rPr>
          <w:rFonts w:ascii="Arial (W1)" w:hAnsi="Arial (W1)"/>
          <w:b/>
          <w:bCs/>
          <w:sz w:val="28"/>
          <w:szCs w:val="28"/>
          <w:u w:val="single"/>
          <w:rtl/>
        </w:rPr>
      </w:pPr>
    </w:p>
    <w:p w:rsidR="00975746" w:rsidRPr="00C13ED9" w:rsidRDefault="00975746" w:rsidP="006F553B">
      <w:pPr>
        <w:spacing w:line="360" w:lineRule="auto"/>
        <w:ind w:left="-199"/>
        <w:jc w:val="both"/>
        <w:rPr>
          <w:b/>
          <w:bCs/>
          <w:sz w:val="28"/>
          <w:szCs w:val="28"/>
          <w:u w:val="single"/>
          <w:rtl/>
        </w:rPr>
      </w:pPr>
      <w:r w:rsidRPr="00C13ED9">
        <w:rPr>
          <w:b/>
          <w:bCs/>
          <w:sz w:val="28"/>
          <w:szCs w:val="28"/>
          <w:u w:val="single"/>
          <w:rtl/>
        </w:rPr>
        <w:t>השופט גלעד נויטל, נשיא, אב"ד</w:t>
      </w:r>
      <w:r w:rsidRPr="00C13ED9">
        <w:rPr>
          <w:b/>
          <w:bCs/>
          <w:sz w:val="28"/>
          <w:szCs w:val="28"/>
          <w:rtl/>
        </w:rPr>
        <w:t>:</w:t>
      </w:r>
    </w:p>
    <w:p w:rsidR="00975746" w:rsidRPr="00C13ED9" w:rsidRDefault="00975746" w:rsidP="006F553B">
      <w:pPr>
        <w:spacing w:line="360" w:lineRule="auto"/>
        <w:ind w:left="-199"/>
        <w:jc w:val="both"/>
        <w:rPr>
          <w:b/>
          <w:bCs/>
          <w:sz w:val="28"/>
          <w:szCs w:val="28"/>
          <w:u w:val="single"/>
        </w:rPr>
      </w:pPr>
    </w:p>
    <w:p w:rsidR="00975746" w:rsidRPr="00C13ED9" w:rsidRDefault="00975746" w:rsidP="006F553B">
      <w:pPr>
        <w:spacing w:line="360" w:lineRule="auto"/>
        <w:ind w:left="-199"/>
        <w:jc w:val="both"/>
        <w:rPr>
          <w:rFonts w:ascii="David" w:hAnsi="David"/>
          <w:rtl/>
        </w:rPr>
      </w:pPr>
      <w:r w:rsidRPr="00C13ED9">
        <w:rPr>
          <w:rFonts w:ascii="David" w:hAnsi="David"/>
          <w:rtl/>
        </w:rPr>
        <w:t>אני מסכים.</w:t>
      </w:r>
    </w:p>
    <w:p w:rsidR="00975746" w:rsidRPr="00C13ED9" w:rsidRDefault="00975746" w:rsidP="006F553B">
      <w:pPr>
        <w:spacing w:line="360" w:lineRule="auto"/>
        <w:ind w:left="-199"/>
        <w:jc w:val="both"/>
        <w:rPr>
          <w:rFonts w:ascii="David" w:hAnsi="David"/>
          <w:rtl/>
        </w:rPr>
      </w:pPr>
    </w:p>
    <w:p w:rsidR="00975746" w:rsidRPr="00C13ED9" w:rsidRDefault="00975746" w:rsidP="006F553B">
      <w:pPr>
        <w:spacing w:line="360" w:lineRule="auto"/>
        <w:ind w:left="-199"/>
        <w:jc w:val="both"/>
        <w:rPr>
          <w:rFonts w:ascii="David" w:hAnsi="David"/>
          <w:rtl/>
        </w:rPr>
      </w:pPr>
    </w:p>
    <w:p w:rsidR="00975746" w:rsidRPr="00C13ED9" w:rsidRDefault="00975746" w:rsidP="006F553B">
      <w:pPr>
        <w:spacing w:line="360" w:lineRule="auto"/>
        <w:ind w:left="-199"/>
        <w:jc w:val="both"/>
        <w:rPr>
          <w:rFonts w:ascii="David" w:hAnsi="David"/>
          <w:rtl/>
        </w:rPr>
      </w:pPr>
    </w:p>
    <w:tbl>
      <w:tblPr>
        <w:tblStyle w:val="a9"/>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98"/>
      </w:tblGrid>
      <w:tr w:rsidR="00975746" w:rsidRPr="00C13ED9" w:rsidTr="00975746">
        <w:trPr>
          <w:trHeight w:val="1118"/>
          <w:jc w:val="right"/>
        </w:trPr>
        <w:tc>
          <w:tcPr>
            <w:tcW w:w="2298" w:type="dxa"/>
            <w:tcBorders>
              <w:top w:val="nil"/>
              <w:left w:val="nil"/>
              <w:bottom w:val="single" w:sz="4" w:space="0" w:color="auto"/>
              <w:right w:val="nil"/>
            </w:tcBorders>
            <w:vAlign w:val="center"/>
            <w:hideMark/>
          </w:tcPr>
          <w:p w:rsidR="00975746" w:rsidRPr="00C13ED9" w:rsidRDefault="00975746" w:rsidP="006F553B">
            <w:pPr>
              <w:spacing w:line="360" w:lineRule="auto"/>
              <w:ind w:left="-199"/>
              <w:jc w:val="center"/>
              <w:rPr>
                <w:rFonts w:ascii="Courier New" w:hAnsi="Courier New"/>
                <w:b/>
                <w:bCs/>
                <w:rtl/>
              </w:rPr>
            </w:pPr>
            <w:r w:rsidRPr="00C13ED9">
              <w:rPr>
                <w:rFonts w:ascii="Courier New" w:hAnsi="Courier New"/>
                <w:b/>
                <w:bCs/>
                <w:noProof/>
              </w:rPr>
              <w:drawing>
                <wp:inline distT="0" distB="0" distL="0" distR="0">
                  <wp:extent cx="647700" cy="57150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7700" cy="571500"/>
                          </a:xfrm>
                          <a:prstGeom prst="rect">
                            <a:avLst/>
                          </a:prstGeom>
                          <a:noFill/>
                          <a:ln>
                            <a:noFill/>
                          </a:ln>
                        </pic:spPr>
                      </pic:pic>
                    </a:graphicData>
                  </a:graphic>
                </wp:inline>
              </w:drawing>
            </w:r>
          </w:p>
        </w:tc>
      </w:tr>
      <w:tr w:rsidR="00975746" w:rsidRPr="00C13ED9" w:rsidTr="00975746">
        <w:trPr>
          <w:trHeight w:val="384"/>
          <w:jc w:val="right"/>
        </w:trPr>
        <w:tc>
          <w:tcPr>
            <w:tcW w:w="2298" w:type="dxa"/>
            <w:tcBorders>
              <w:top w:val="single" w:sz="4" w:space="0" w:color="auto"/>
              <w:left w:val="nil"/>
              <w:bottom w:val="nil"/>
              <w:right w:val="nil"/>
            </w:tcBorders>
            <w:vAlign w:val="bottom"/>
            <w:hideMark/>
          </w:tcPr>
          <w:p w:rsidR="00975746" w:rsidRPr="00C13ED9" w:rsidRDefault="00975746" w:rsidP="006F553B">
            <w:pPr>
              <w:spacing w:line="360" w:lineRule="auto"/>
              <w:ind w:left="-199"/>
              <w:jc w:val="center"/>
              <w:rPr>
                <w:rFonts w:ascii="Calibri" w:hAnsi="Calibri"/>
                <w:b/>
                <w:bCs/>
              </w:rPr>
            </w:pPr>
            <w:r w:rsidRPr="00C13ED9">
              <w:rPr>
                <w:rFonts w:ascii="Calibri" w:hAnsi="Calibri"/>
                <w:b/>
                <w:bCs/>
                <w:rtl/>
              </w:rPr>
              <w:t xml:space="preserve">השופט גלעד נויטל, </w:t>
            </w:r>
          </w:p>
          <w:p w:rsidR="00975746" w:rsidRPr="00C13ED9" w:rsidRDefault="00975746" w:rsidP="006F553B">
            <w:pPr>
              <w:spacing w:line="360" w:lineRule="auto"/>
              <w:ind w:left="-199"/>
              <w:jc w:val="center"/>
              <w:rPr>
                <w:rFonts w:ascii="Arial (W1)" w:hAnsi="Arial (W1)"/>
                <w:b/>
                <w:bCs/>
                <w:rtl/>
              </w:rPr>
            </w:pPr>
            <w:r w:rsidRPr="00C13ED9">
              <w:rPr>
                <w:rFonts w:ascii="Calibri" w:hAnsi="Calibri"/>
                <w:b/>
                <w:bCs/>
                <w:rtl/>
              </w:rPr>
              <w:t>נשיא, אב"ד</w:t>
            </w:r>
          </w:p>
        </w:tc>
      </w:tr>
    </w:tbl>
    <w:p w:rsidR="00975746" w:rsidRPr="00C13ED9" w:rsidRDefault="00975746" w:rsidP="00596657">
      <w:pPr>
        <w:spacing w:line="360" w:lineRule="auto"/>
        <w:jc w:val="both"/>
        <w:rPr>
          <w:b/>
          <w:bCs/>
          <w:sz w:val="28"/>
          <w:szCs w:val="28"/>
          <w:u w:val="single"/>
          <w:rtl/>
        </w:rPr>
      </w:pPr>
    </w:p>
    <w:p w:rsidR="00975746" w:rsidRPr="00C13ED9" w:rsidRDefault="00975746" w:rsidP="006F553B">
      <w:pPr>
        <w:spacing w:line="360" w:lineRule="auto"/>
        <w:ind w:left="-199"/>
        <w:jc w:val="both"/>
        <w:rPr>
          <w:b/>
          <w:bCs/>
          <w:sz w:val="28"/>
          <w:szCs w:val="28"/>
          <w:u w:val="single"/>
          <w:rtl/>
        </w:rPr>
      </w:pPr>
      <w:r w:rsidRPr="00C13ED9">
        <w:rPr>
          <w:b/>
          <w:bCs/>
          <w:sz w:val="28"/>
          <w:szCs w:val="28"/>
          <w:u w:val="single"/>
          <w:rtl/>
        </w:rPr>
        <w:t>השופטת טלי חיימוביץ</w:t>
      </w:r>
      <w:r w:rsidRPr="00C13ED9">
        <w:rPr>
          <w:b/>
          <w:bCs/>
          <w:sz w:val="28"/>
          <w:szCs w:val="28"/>
          <w:rtl/>
        </w:rPr>
        <w:t>:</w:t>
      </w:r>
    </w:p>
    <w:p w:rsidR="00975746" w:rsidRPr="00C13ED9" w:rsidRDefault="00975746" w:rsidP="006F553B">
      <w:pPr>
        <w:spacing w:line="360" w:lineRule="auto"/>
        <w:ind w:left="-199"/>
        <w:jc w:val="both"/>
        <w:rPr>
          <w:b/>
          <w:bCs/>
          <w:sz w:val="28"/>
          <w:szCs w:val="28"/>
          <w:u w:val="single"/>
          <w:rtl/>
        </w:rPr>
      </w:pPr>
    </w:p>
    <w:p w:rsidR="00975746" w:rsidRPr="00C13ED9" w:rsidRDefault="00975746" w:rsidP="006F553B">
      <w:pPr>
        <w:spacing w:line="360" w:lineRule="auto"/>
        <w:ind w:left="-199"/>
        <w:jc w:val="both"/>
        <w:rPr>
          <w:rFonts w:ascii="David" w:hAnsi="David"/>
          <w:rtl/>
        </w:rPr>
      </w:pPr>
      <w:r w:rsidRPr="00C13ED9">
        <w:rPr>
          <w:rFonts w:ascii="David" w:hAnsi="David"/>
          <w:rtl/>
        </w:rPr>
        <w:t>אני מסכימה.</w:t>
      </w:r>
    </w:p>
    <w:p w:rsidR="0046366D" w:rsidRPr="00C13ED9" w:rsidRDefault="0046366D" w:rsidP="006F553B">
      <w:pPr>
        <w:spacing w:line="360" w:lineRule="auto"/>
        <w:ind w:left="-199"/>
        <w:jc w:val="both"/>
        <w:rPr>
          <w:rFonts w:ascii="David" w:hAnsi="David"/>
          <w:rtl/>
        </w:rPr>
      </w:pPr>
    </w:p>
    <w:p w:rsidR="0046366D" w:rsidRPr="00C13ED9" w:rsidRDefault="0046366D" w:rsidP="006F553B">
      <w:pPr>
        <w:spacing w:line="360" w:lineRule="auto"/>
        <w:ind w:left="-199"/>
        <w:jc w:val="both"/>
        <w:rPr>
          <w:rFonts w:ascii="David" w:hAnsi="David"/>
          <w:rtl/>
        </w:rPr>
      </w:pPr>
    </w:p>
    <w:p w:rsidR="0046366D" w:rsidRPr="00C13ED9" w:rsidRDefault="0046366D" w:rsidP="0046366D">
      <w:pPr>
        <w:spacing w:line="360" w:lineRule="auto"/>
        <w:jc w:val="both"/>
        <w:rPr>
          <w:b/>
          <w:bCs/>
          <w:sz w:val="28"/>
          <w:szCs w:val="28"/>
          <w:u w:val="single"/>
        </w:rPr>
      </w:pPr>
    </w:p>
    <w:p w:rsidR="0046366D" w:rsidRPr="00C13ED9" w:rsidRDefault="00E9782E" w:rsidP="0046366D">
      <w:pPr>
        <w:spacing w:line="360" w:lineRule="auto"/>
        <w:jc w:val="center"/>
        <w:rPr>
          <w:b/>
          <w:bCs/>
          <w:sz w:val="28"/>
          <w:szCs w:val="28"/>
          <w:u w:val="single"/>
        </w:rPr>
      </w:pPr>
      <w:r w:rsidRPr="00C13ED9">
        <w:rPr>
          <w:noProof/>
        </w:rPr>
        <w:drawing>
          <wp:anchor distT="0" distB="0" distL="114300" distR="114300" simplePos="0" relativeHeight="251661312" behindDoc="0" locked="0" layoutInCell="1" allowOverlap="1">
            <wp:simplePos x="0" y="0"/>
            <wp:positionH relativeFrom="column">
              <wp:posOffset>159385</wp:posOffset>
            </wp:positionH>
            <wp:positionV relativeFrom="paragraph">
              <wp:posOffset>147320</wp:posOffset>
            </wp:positionV>
            <wp:extent cx="1209675" cy="323850"/>
            <wp:effectExtent l="0" t="0" r="9525" b="0"/>
            <wp:wrapNone/>
            <wp:docPr id="8" name="תמונה 8" descr="057268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descr="0572684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09675" cy="323850"/>
                    </a:xfrm>
                    <a:prstGeom prst="rect">
                      <a:avLst/>
                    </a:prstGeom>
                    <a:noFill/>
                  </pic:spPr>
                </pic:pic>
              </a:graphicData>
            </a:graphic>
            <wp14:sizeRelH relativeFrom="page">
              <wp14:pctWidth>0</wp14:pctWidth>
            </wp14:sizeRelH>
            <wp14:sizeRelV relativeFrom="page">
              <wp14:pctHeight>0</wp14:pctHeight>
            </wp14:sizeRelV>
          </wp:anchor>
        </w:drawing>
      </w:r>
    </w:p>
    <w:p w:rsidR="0046366D" w:rsidRPr="00C13ED9" w:rsidRDefault="0046366D" w:rsidP="0046366D">
      <w:pPr>
        <w:spacing w:line="360" w:lineRule="auto"/>
        <w:jc w:val="center"/>
        <w:rPr>
          <w:b/>
          <w:bCs/>
          <w:sz w:val="28"/>
          <w:szCs w:val="28"/>
          <w:u w:val="single"/>
          <w:rtl/>
        </w:rPr>
      </w:pPr>
    </w:p>
    <w:tbl>
      <w:tblPr>
        <w:tblStyle w:val="a9"/>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15"/>
      </w:tblGrid>
      <w:tr w:rsidR="0046366D" w:rsidRPr="00C13ED9" w:rsidTr="0046366D">
        <w:trPr>
          <w:jc w:val="right"/>
        </w:trPr>
        <w:tc>
          <w:tcPr>
            <w:tcW w:w="2315" w:type="dxa"/>
            <w:vAlign w:val="center"/>
            <w:hideMark/>
          </w:tcPr>
          <w:p w:rsidR="0046366D" w:rsidRPr="00C13ED9" w:rsidRDefault="0046366D">
            <w:pPr>
              <w:rPr>
                <w:b/>
                <w:bCs/>
                <w:sz w:val="28"/>
                <w:szCs w:val="28"/>
                <w:u w:val="single"/>
                <w:rtl/>
              </w:rPr>
            </w:pPr>
          </w:p>
        </w:tc>
      </w:tr>
      <w:tr w:rsidR="0046366D" w:rsidRPr="00C13ED9" w:rsidTr="0046366D">
        <w:trPr>
          <w:jc w:val="right"/>
        </w:trPr>
        <w:tc>
          <w:tcPr>
            <w:tcW w:w="2315" w:type="dxa"/>
            <w:tcBorders>
              <w:top w:val="nil"/>
              <w:left w:val="nil"/>
              <w:bottom w:val="single" w:sz="4" w:space="0" w:color="auto"/>
              <w:right w:val="nil"/>
            </w:tcBorders>
            <w:vAlign w:val="center"/>
            <w:hideMark/>
          </w:tcPr>
          <w:p w:rsidR="0046366D" w:rsidRPr="00C13ED9" w:rsidRDefault="0046366D">
            <w:pPr>
              <w:rPr>
                <w:rFonts w:cs="Times New Roman"/>
                <w:sz w:val="20"/>
                <w:szCs w:val="20"/>
              </w:rPr>
            </w:pPr>
          </w:p>
        </w:tc>
      </w:tr>
      <w:tr w:rsidR="0046366D" w:rsidRPr="00C13ED9" w:rsidTr="0046366D">
        <w:trPr>
          <w:jc w:val="right"/>
        </w:trPr>
        <w:tc>
          <w:tcPr>
            <w:tcW w:w="2315" w:type="dxa"/>
            <w:tcBorders>
              <w:top w:val="single" w:sz="4" w:space="0" w:color="auto"/>
              <w:left w:val="nil"/>
              <w:bottom w:val="nil"/>
              <w:right w:val="nil"/>
            </w:tcBorders>
            <w:hideMark/>
          </w:tcPr>
          <w:p w:rsidR="0046366D" w:rsidRPr="00C13ED9" w:rsidRDefault="0046366D">
            <w:pPr>
              <w:spacing w:line="360" w:lineRule="auto"/>
              <w:jc w:val="center"/>
              <w:rPr>
                <w:rFonts w:ascii="Courier New" w:hAnsi="Courier New"/>
                <w:b/>
                <w:bCs/>
                <w:lang w:eastAsia="he-IL"/>
              </w:rPr>
            </w:pPr>
            <w:r w:rsidRPr="00C13ED9">
              <w:rPr>
                <w:rFonts w:ascii="Courier New" w:hAnsi="Courier New"/>
                <w:b/>
                <w:bCs/>
                <w:rtl/>
                <w:lang w:eastAsia="he-IL"/>
              </w:rPr>
              <w:t>טלי חיימוביץ, שופטת</w:t>
            </w:r>
          </w:p>
        </w:tc>
      </w:tr>
    </w:tbl>
    <w:p w:rsidR="0046366D" w:rsidRPr="00C13ED9" w:rsidRDefault="0046366D" w:rsidP="006F553B">
      <w:pPr>
        <w:spacing w:line="360" w:lineRule="auto"/>
        <w:ind w:left="-199"/>
        <w:jc w:val="both"/>
        <w:rPr>
          <w:rFonts w:ascii="David" w:hAnsi="David"/>
          <w:rtl/>
        </w:rPr>
      </w:pPr>
    </w:p>
    <w:p w:rsidR="00975746" w:rsidRPr="00C13ED9" w:rsidRDefault="00975746" w:rsidP="0046366D">
      <w:pPr>
        <w:spacing w:line="360" w:lineRule="auto"/>
        <w:rPr>
          <w:rFonts w:ascii="Arial" w:hAnsi="Arial"/>
          <w:rtl/>
        </w:rPr>
      </w:pPr>
    </w:p>
    <w:p w:rsidR="00596657" w:rsidRPr="00C13ED9" w:rsidRDefault="00596657" w:rsidP="00596657">
      <w:pPr>
        <w:spacing w:line="360" w:lineRule="auto"/>
        <w:ind w:left="-198"/>
        <w:rPr>
          <w:rFonts w:ascii="Arial" w:hAnsi="Arial"/>
          <w:b/>
          <w:bCs/>
          <w:sz w:val="28"/>
          <w:szCs w:val="28"/>
          <w:u w:val="single"/>
          <w:rtl/>
        </w:rPr>
      </w:pPr>
      <w:r w:rsidRPr="00C13ED9">
        <w:rPr>
          <w:rFonts w:ascii="Arial" w:hAnsi="Arial"/>
          <w:b/>
          <w:bCs/>
          <w:sz w:val="28"/>
          <w:szCs w:val="28"/>
          <w:u w:val="single"/>
          <w:rtl/>
        </w:rPr>
        <w:t>סוף דבר:</w:t>
      </w:r>
    </w:p>
    <w:p w:rsidR="00596657" w:rsidRPr="00C13ED9" w:rsidRDefault="00596657" w:rsidP="00596657">
      <w:pPr>
        <w:spacing w:line="360" w:lineRule="auto"/>
        <w:ind w:left="-198"/>
        <w:rPr>
          <w:rFonts w:ascii="Calibri" w:hAnsi="Calibri"/>
          <w:b/>
          <w:bCs/>
          <w:rtl/>
        </w:rPr>
      </w:pPr>
    </w:p>
    <w:p w:rsidR="00596657" w:rsidRPr="00C13ED9" w:rsidRDefault="00596657" w:rsidP="00596657">
      <w:pPr>
        <w:spacing w:line="360" w:lineRule="auto"/>
        <w:ind w:left="-198"/>
        <w:rPr>
          <w:rFonts w:ascii="Arial" w:hAnsi="Arial"/>
          <w:b/>
          <w:bCs/>
          <w:sz w:val="28"/>
          <w:szCs w:val="28"/>
          <w:u w:val="single"/>
          <w:rtl/>
        </w:rPr>
      </w:pPr>
      <w:r w:rsidRPr="00C13ED9">
        <w:rPr>
          <w:rFonts w:ascii="Calibri" w:hAnsi="Calibri"/>
          <w:b/>
          <w:bCs/>
          <w:rtl/>
        </w:rPr>
        <w:t xml:space="preserve">אנו מטילים אפוא, פה אחד, על הנאשם, </w:t>
      </w:r>
      <w:r w:rsidRPr="00C13ED9">
        <w:rPr>
          <w:rFonts w:ascii="Calibri" w:hAnsi="Calibri" w:hint="cs"/>
          <w:b/>
          <w:bCs/>
          <w:rtl/>
        </w:rPr>
        <w:t xml:space="preserve">פאדי מאלוק, </w:t>
      </w:r>
      <w:r w:rsidRPr="00C13ED9">
        <w:rPr>
          <w:rFonts w:ascii="Calibri" w:hAnsi="Calibri"/>
          <w:b/>
          <w:bCs/>
          <w:rtl/>
        </w:rPr>
        <w:t>את העונשים כמפורט בחוות דעת</w:t>
      </w:r>
      <w:r w:rsidRPr="00C13ED9">
        <w:rPr>
          <w:rFonts w:ascii="Calibri" w:hAnsi="Calibri" w:hint="cs"/>
          <w:b/>
          <w:bCs/>
          <w:rtl/>
        </w:rPr>
        <w:t xml:space="preserve">ה </w:t>
      </w:r>
      <w:r w:rsidRPr="00C13ED9">
        <w:rPr>
          <w:rFonts w:ascii="Calibri" w:hAnsi="Calibri"/>
          <w:b/>
          <w:bCs/>
          <w:rtl/>
        </w:rPr>
        <w:t>של השופט</w:t>
      </w:r>
      <w:r w:rsidRPr="00C13ED9">
        <w:rPr>
          <w:rFonts w:ascii="Calibri" w:hAnsi="Calibri" w:hint="cs"/>
          <w:b/>
          <w:bCs/>
          <w:rtl/>
        </w:rPr>
        <w:t>ת ביבי.</w:t>
      </w:r>
    </w:p>
    <w:p w:rsidR="00596657" w:rsidRPr="00C13ED9" w:rsidRDefault="00596657" w:rsidP="00596657">
      <w:pPr>
        <w:spacing w:line="360" w:lineRule="auto"/>
        <w:ind w:left="-198"/>
        <w:rPr>
          <w:rFonts w:ascii="Arial" w:hAnsi="Arial"/>
          <w:rtl/>
        </w:rPr>
      </w:pPr>
    </w:p>
    <w:p w:rsidR="00596657" w:rsidRPr="00C13ED9" w:rsidRDefault="00596657" w:rsidP="00596657">
      <w:pPr>
        <w:spacing w:line="360" w:lineRule="auto"/>
        <w:ind w:left="-198"/>
        <w:rPr>
          <w:rFonts w:ascii="Arial" w:hAnsi="Arial"/>
          <w:b/>
          <w:bCs/>
          <w:sz w:val="28"/>
          <w:szCs w:val="28"/>
          <w:u w:val="single"/>
          <w:rtl/>
        </w:rPr>
      </w:pPr>
      <w:r w:rsidRPr="00C13ED9">
        <w:rPr>
          <w:rFonts w:ascii="Arial" w:hAnsi="Arial"/>
          <w:rtl/>
        </w:rPr>
        <w:t xml:space="preserve">התביעה תעביר תוך 7 ימים מהיום למזכירות בית המשפט את פרטי </w:t>
      </w:r>
      <w:r w:rsidRPr="00C13ED9">
        <w:rPr>
          <w:rFonts w:ascii="Arial" w:hAnsi="Arial" w:hint="cs"/>
          <w:rtl/>
        </w:rPr>
        <w:t>בניהן</w:t>
      </w:r>
      <w:r w:rsidRPr="00C13ED9">
        <w:rPr>
          <w:rFonts w:ascii="Arial" w:hAnsi="Arial"/>
          <w:rtl/>
        </w:rPr>
        <w:t xml:space="preserve"> של המנוח</w:t>
      </w:r>
      <w:r w:rsidRPr="00C13ED9">
        <w:rPr>
          <w:rFonts w:ascii="Arial" w:hAnsi="Arial" w:hint="cs"/>
          <w:rtl/>
        </w:rPr>
        <w:t>ות</w:t>
      </w:r>
      <w:r w:rsidRPr="00C13ED9">
        <w:rPr>
          <w:rFonts w:ascii="Arial" w:hAnsi="Arial"/>
          <w:rtl/>
        </w:rPr>
        <w:t>, כדי שניתן יהיה להעביר אליה</w:t>
      </w:r>
      <w:r w:rsidRPr="00C13ED9">
        <w:rPr>
          <w:rFonts w:ascii="Arial" w:hAnsi="Arial" w:hint="cs"/>
          <w:rtl/>
        </w:rPr>
        <w:t>ם</w:t>
      </w:r>
      <w:r w:rsidRPr="00C13ED9">
        <w:rPr>
          <w:rFonts w:ascii="Arial" w:hAnsi="Arial"/>
          <w:rtl/>
        </w:rPr>
        <w:t xml:space="preserve"> את סכום הפיצוי.</w:t>
      </w:r>
    </w:p>
    <w:p w:rsidR="00596657" w:rsidRPr="00C13ED9" w:rsidRDefault="00596657" w:rsidP="00596657">
      <w:pPr>
        <w:spacing w:line="360" w:lineRule="auto"/>
        <w:ind w:left="-198"/>
        <w:jc w:val="both"/>
        <w:rPr>
          <w:rFonts w:ascii="Calibri" w:hAnsi="Calibri"/>
        </w:rPr>
      </w:pPr>
    </w:p>
    <w:p w:rsidR="00596657" w:rsidRPr="00C13ED9" w:rsidRDefault="00596657" w:rsidP="00596657">
      <w:pPr>
        <w:spacing w:line="360" w:lineRule="auto"/>
        <w:ind w:left="-198"/>
        <w:jc w:val="both"/>
        <w:rPr>
          <w:rFonts w:ascii="Calibri" w:hAnsi="Calibri"/>
          <w:rtl/>
        </w:rPr>
      </w:pPr>
      <w:r w:rsidRPr="00C13ED9">
        <w:rPr>
          <w:rFonts w:ascii="Calibri" w:hAnsi="Calibri"/>
          <w:rtl/>
        </w:rPr>
        <w:t>הוסברה לנאשם זכותו לערער על פסק הדין תוך 45 ימים מהיו</w:t>
      </w:r>
      <w:r w:rsidRPr="00C13ED9">
        <w:rPr>
          <w:rFonts w:ascii="Calibri" w:hAnsi="Calibri" w:hint="cs"/>
          <w:rtl/>
        </w:rPr>
        <w:t>ם.</w:t>
      </w:r>
    </w:p>
    <w:p w:rsidR="00596657" w:rsidRPr="00C13ED9" w:rsidRDefault="00596657" w:rsidP="006F553B">
      <w:pPr>
        <w:spacing w:line="360" w:lineRule="auto"/>
        <w:ind w:left="-199"/>
        <w:jc w:val="both"/>
        <w:rPr>
          <w:b/>
          <w:bCs/>
          <w:sz w:val="28"/>
          <w:szCs w:val="28"/>
          <w:u w:val="single"/>
          <w:rtl/>
        </w:rPr>
      </w:pPr>
    </w:p>
    <w:p w:rsidR="00975746" w:rsidRPr="00C13ED9" w:rsidRDefault="00975746" w:rsidP="006F553B">
      <w:pPr>
        <w:spacing w:line="360" w:lineRule="auto"/>
        <w:ind w:left="-199"/>
        <w:rPr>
          <w:rFonts w:ascii="Arial" w:hAnsi="Arial"/>
          <w:rtl/>
        </w:rPr>
      </w:pPr>
    </w:p>
    <w:p w:rsidR="00975746" w:rsidRPr="00C13ED9" w:rsidRDefault="00975746" w:rsidP="006F553B">
      <w:pPr>
        <w:spacing w:line="360" w:lineRule="auto"/>
        <w:ind w:left="-199"/>
        <w:rPr>
          <w:rFonts w:ascii="Arial" w:hAnsi="Arial"/>
          <w:rtl/>
        </w:rPr>
      </w:pPr>
    </w:p>
    <w:p w:rsidR="00975746" w:rsidRPr="00C13ED9" w:rsidRDefault="00975746" w:rsidP="006F553B">
      <w:pPr>
        <w:spacing w:line="360" w:lineRule="auto"/>
        <w:ind w:left="-199"/>
        <w:jc w:val="both"/>
        <w:rPr>
          <w:rFonts w:ascii="Arial" w:hAnsi="Arial"/>
        </w:rPr>
      </w:pPr>
      <w:r w:rsidRPr="00C13ED9">
        <w:rPr>
          <w:rFonts w:ascii="Arial" w:hAnsi="Arial"/>
          <w:rtl/>
        </w:rPr>
        <w:lastRenderedPageBreak/>
        <w:t>ניתן ה</w:t>
      </w:r>
      <w:r w:rsidRPr="00C13ED9">
        <w:rPr>
          <w:rFonts w:ascii="Arial" w:hAnsi="Arial" w:hint="cs"/>
          <w:rtl/>
        </w:rPr>
        <w:t>יום, ב' טבת תשפ"ד, 14 דצמבר 2023, במעמד</w:t>
      </w:r>
      <w:r w:rsidRPr="00C13ED9">
        <w:rPr>
          <w:rFonts w:ascii="Arial" w:hAnsi="Arial"/>
          <w:rtl/>
        </w:rPr>
        <w:t xml:space="preserve"> הצדדים.</w:t>
      </w:r>
    </w:p>
    <w:p w:rsidR="00975746" w:rsidRPr="00C13ED9" w:rsidRDefault="00975746" w:rsidP="006F553B">
      <w:pPr>
        <w:spacing w:line="360" w:lineRule="auto"/>
        <w:ind w:left="-199"/>
        <w:rPr>
          <w:rFonts w:ascii="Arial" w:hAnsi="Arial"/>
          <w:rtl/>
        </w:rPr>
      </w:pPr>
    </w:p>
    <w:p w:rsidR="00975746" w:rsidRPr="00C13ED9" w:rsidRDefault="00975746" w:rsidP="006F553B">
      <w:pPr>
        <w:spacing w:line="360" w:lineRule="auto"/>
        <w:ind w:left="-199"/>
        <w:rPr>
          <w:rFonts w:ascii="Arial (W1)" w:hAnsi="Arial (W1)"/>
          <w:sz w:val="28"/>
          <w:szCs w:val="28"/>
          <w:rtl/>
        </w:rPr>
      </w:pPr>
    </w:p>
    <w:p w:rsidR="00975746" w:rsidRPr="00C13ED9" w:rsidRDefault="00975746" w:rsidP="006F553B">
      <w:pPr>
        <w:spacing w:line="360" w:lineRule="auto"/>
        <w:ind w:left="-199"/>
        <w:rPr>
          <w:sz w:val="28"/>
          <w:szCs w:val="28"/>
          <w:rtl/>
        </w:rPr>
      </w:pPr>
    </w:p>
    <w:p w:rsidR="00975746" w:rsidRPr="00C13ED9" w:rsidRDefault="00975746" w:rsidP="006F553B">
      <w:pPr>
        <w:spacing w:line="360" w:lineRule="auto"/>
        <w:ind w:left="-199"/>
        <w:rPr>
          <w:sz w:val="28"/>
          <w:szCs w:val="28"/>
          <w:rtl/>
        </w:rPr>
      </w:pPr>
    </w:p>
    <w:tbl>
      <w:tblPr>
        <w:tblStyle w:val="a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37"/>
        <w:gridCol w:w="236"/>
        <w:gridCol w:w="2646"/>
        <w:gridCol w:w="236"/>
        <w:gridCol w:w="2512"/>
      </w:tblGrid>
      <w:tr w:rsidR="00975746" w:rsidRPr="00C13ED9" w:rsidTr="00975746">
        <w:trPr>
          <w:trHeight w:val="1492"/>
          <w:jc w:val="center"/>
        </w:trPr>
        <w:tc>
          <w:tcPr>
            <w:tcW w:w="2537" w:type="dxa"/>
            <w:tcBorders>
              <w:top w:val="nil"/>
              <w:left w:val="nil"/>
              <w:bottom w:val="single" w:sz="4" w:space="0" w:color="auto"/>
              <w:right w:val="nil"/>
            </w:tcBorders>
            <w:vAlign w:val="center"/>
            <w:hideMark/>
          </w:tcPr>
          <w:p w:rsidR="00975746" w:rsidRPr="00C13ED9" w:rsidRDefault="00975746" w:rsidP="006F553B">
            <w:pPr>
              <w:tabs>
                <w:tab w:val="left" w:pos="5426"/>
              </w:tabs>
              <w:spacing w:line="360" w:lineRule="auto"/>
              <w:ind w:left="-199"/>
              <w:jc w:val="center"/>
              <w:rPr>
                <w:rFonts w:asciiTheme="minorHAnsi" w:hAnsiTheme="minorHAnsi"/>
                <w:rtl/>
              </w:rPr>
            </w:pPr>
            <w:r w:rsidRPr="00C13ED9">
              <w:rPr>
                <w:rFonts w:ascii="Courier New" w:hAnsi="Courier New"/>
                <w:b/>
                <w:bCs/>
                <w:noProof/>
              </w:rPr>
              <w:drawing>
                <wp:inline distT="0" distB="0" distL="0" distR="0">
                  <wp:extent cx="819150" cy="72390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19150" cy="723900"/>
                          </a:xfrm>
                          <a:prstGeom prst="rect">
                            <a:avLst/>
                          </a:prstGeom>
                          <a:noFill/>
                          <a:ln>
                            <a:noFill/>
                          </a:ln>
                        </pic:spPr>
                      </pic:pic>
                    </a:graphicData>
                  </a:graphic>
                </wp:inline>
              </w:drawing>
            </w:r>
          </w:p>
        </w:tc>
        <w:tc>
          <w:tcPr>
            <w:tcW w:w="236" w:type="dxa"/>
          </w:tcPr>
          <w:p w:rsidR="00975746" w:rsidRPr="00C13ED9" w:rsidRDefault="00975746" w:rsidP="006F553B">
            <w:pPr>
              <w:tabs>
                <w:tab w:val="left" w:pos="5426"/>
              </w:tabs>
              <w:spacing w:line="360" w:lineRule="auto"/>
              <w:ind w:left="-199"/>
              <w:rPr>
                <w:rFonts w:asciiTheme="minorHAnsi" w:hAnsiTheme="minorHAnsi"/>
                <w:rtl/>
              </w:rPr>
            </w:pPr>
          </w:p>
        </w:tc>
        <w:tc>
          <w:tcPr>
            <w:tcW w:w="2646" w:type="dxa"/>
            <w:tcBorders>
              <w:top w:val="nil"/>
              <w:left w:val="nil"/>
              <w:bottom w:val="single" w:sz="4" w:space="0" w:color="auto"/>
              <w:right w:val="nil"/>
            </w:tcBorders>
            <w:vAlign w:val="center"/>
            <w:hideMark/>
          </w:tcPr>
          <w:p w:rsidR="00975746" w:rsidRPr="00C13ED9" w:rsidRDefault="00975746" w:rsidP="006F553B">
            <w:pPr>
              <w:tabs>
                <w:tab w:val="left" w:pos="5426"/>
              </w:tabs>
              <w:spacing w:line="360" w:lineRule="auto"/>
              <w:ind w:left="-199"/>
              <w:jc w:val="center"/>
              <w:rPr>
                <w:rFonts w:asciiTheme="minorHAnsi" w:hAnsiTheme="minorHAnsi"/>
              </w:rPr>
            </w:pPr>
            <w:r w:rsidRPr="00C13ED9">
              <w:rPr>
                <w:rFonts w:ascii="Arial (W1)" w:hAnsi="Arial (W1)"/>
                <w:noProof/>
              </w:rPr>
              <w:drawing>
                <wp:anchor distT="0" distB="0" distL="114300" distR="114300" simplePos="0" relativeHeight="251658240" behindDoc="1" locked="0" layoutInCell="1" allowOverlap="1">
                  <wp:simplePos x="0" y="0"/>
                  <wp:positionH relativeFrom="column">
                    <wp:posOffset>-104775</wp:posOffset>
                  </wp:positionH>
                  <wp:positionV relativeFrom="paragraph">
                    <wp:posOffset>232410</wp:posOffset>
                  </wp:positionV>
                  <wp:extent cx="1524000" cy="466725"/>
                  <wp:effectExtent l="0" t="0" r="0" b="9525"/>
                  <wp:wrapTight wrapText="bothSides">
                    <wp:wrapPolygon edited="0">
                      <wp:start x="0" y="0"/>
                      <wp:lineTo x="0" y="21159"/>
                      <wp:lineTo x="21330" y="21159"/>
                      <wp:lineTo x="21330" y="0"/>
                      <wp:lineTo x="0" y="0"/>
                    </wp:wrapPolygon>
                  </wp:wrapTight>
                  <wp:docPr id="6" name="תמונה 6" descr="057268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descr="0572684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0" cy="466725"/>
                          </a:xfrm>
                          <a:prstGeom prst="rect">
                            <a:avLst/>
                          </a:prstGeom>
                          <a:noFill/>
                        </pic:spPr>
                      </pic:pic>
                    </a:graphicData>
                  </a:graphic>
                  <wp14:sizeRelH relativeFrom="page">
                    <wp14:pctWidth>0</wp14:pctWidth>
                  </wp14:sizeRelH>
                  <wp14:sizeRelV relativeFrom="page">
                    <wp14:pctHeight>0</wp14:pctHeight>
                  </wp14:sizeRelV>
                </wp:anchor>
              </w:drawing>
            </w:r>
          </w:p>
        </w:tc>
        <w:tc>
          <w:tcPr>
            <w:tcW w:w="236" w:type="dxa"/>
          </w:tcPr>
          <w:p w:rsidR="00975746" w:rsidRPr="00C13ED9" w:rsidRDefault="00975746" w:rsidP="006F553B">
            <w:pPr>
              <w:tabs>
                <w:tab w:val="left" w:pos="5426"/>
              </w:tabs>
              <w:spacing w:line="360" w:lineRule="auto"/>
              <w:ind w:left="-199"/>
              <w:rPr>
                <w:rFonts w:asciiTheme="minorHAnsi" w:hAnsiTheme="minorHAnsi"/>
                <w:rtl/>
              </w:rPr>
            </w:pPr>
          </w:p>
        </w:tc>
        <w:tc>
          <w:tcPr>
            <w:tcW w:w="2512" w:type="dxa"/>
            <w:tcBorders>
              <w:top w:val="nil"/>
              <w:left w:val="nil"/>
              <w:bottom w:val="single" w:sz="4" w:space="0" w:color="auto"/>
              <w:right w:val="nil"/>
            </w:tcBorders>
            <w:hideMark/>
          </w:tcPr>
          <w:p w:rsidR="00975746" w:rsidRPr="00C13ED9" w:rsidRDefault="00975746" w:rsidP="006F553B">
            <w:pPr>
              <w:tabs>
                <w:tab w:val="left" w:pos="5426"/>
              </w:tabs>
              <w:spacing w:line="360" w:lineRule="auto"/>
              <w:ind w:left="-199"/>
              <w:jc w:val="center"/>
              <w:rPr>
                <w:rFonts w:asciiTheme="minorHAnsi" w:hAnsiTheme="minorHAnsi"/>
                <w:rtl/>
              </w:rPr>
            </w:pPr>
            <w:r w:rsidRPr="00C13ED9">
              <w:rPr>
                <w:rFonts w:asciiTheme="minorHAnsi" w:hAnsiTheme="minorHAnsi"/>
                <w:noProof/>
              </w:rPr>
              <w:drawing>
                <wp:inline distT="0" distB="0" distL="0" distR="0">
                  <wp:extent cx="1028700" cy="876300"/>
                  <wp:effectExtent l="0" t="0" r="0" b="0"/>
                  <wp:docPr id="2" name="תמונה 2" descr="023874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descr="02387459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28700" cy="876300"/>
                          </a:xfrm>
                          <a:prstGeom prst="rect">
                            <a:avLst/>
                          </a:prstGeom>
                          <a:noFill/>
                          <a:ln>
                            <a:noFill/>
                          </a:ln>
                        </pic:spPr>
                      </pic:pic>
                    </a:graphicData>
                  </a:graphic>
                </wp:inline>
              </w:drawing>
            </w:r>
          </w:p>
        </w:tc>
      </w:tr>
      <w:tr w:rsidR="00975746" w:rsidTr="00975746">
        <w:trPr>
          <w:trHeight w:val="473"/>
          <w:jc w:val="center"/>
        </w:trPr>
        <w:tc>
          <w:tcPr>
            <w:tcW w:w="2537" w:type="dxa"/>
            <w:tcBorders>
              <w:top w:val="single" w:sz="4" w:space="0" w:color="auto"/>
              <w:left w:val="nil"/>
              <w:bottom w:val="nil"/>
              <w:right w:val="nil"/>
            </w:tcBorders>
            <w:hideMark/>
          </w:tcPr>
          <w:p w:rsidR="00975746" w:rsidRPr="00C13ED9" w:rsidRDefault="00975746" w:rsidP="006F553B">
            <w:pPr>
              <w:spacing w:line="360" w:lineRule="auto"/>
              <w:ind w:left="-199"/>
              <w:jc w:val="center"/>
              <w:rPr>
                <w:rFonts w:ascii="Courier New" w:hAnsi="Courier New"/>
                <w:b/>
                <w:bCs/>
                <w:rtl/>
              </w:rPr>
            </w:pPr>
            <w:r w:rsidRPr="00C13ED9">
              <w:rPr>
                <w:rFonts w:ascii="Courier New" w:hAnsi="Courier New"/>
                <w:b/>
                <w:bCs/>
                <w:rtl/>
              </w:rPr>
              <w:t>גלעד נויטל, שופט, אב"ד נשיא</w:t>
            </w:r>
          </w:p>
        </w:tc>
        <w:tc>
          <w:tcPr>
            <w:tcW w:w="236" w:type="dxa"/>
          </w:tcPr>
          <w:p w:rsidR="00975746" w:rsidRPr="00C13ED9" w:rsidRDefault="00975746" w:rsidP="006F553B">
            <w:pPr>
              <w:tabs>
                <w:tab w:val="left" w:pos="5426"/>
              </w:tabs>
              <w:spacing w:line="360" w:lineRule="auto"/>
              <w:ind w:left="-199"/>
              <w:rPr>
                <w:rFonts w:asciiTheme="minorHAnsi" w:hAnsiTheme="minorHAnsi"/>
              </w:rPr>
            </w:pPr>
          </w:p>
        </w:tc>
        <w:tc>
          <w:tcPr>
            <w:tcW w:w="2646" w:type="dxa"/>
            <w:tcBorders>
              <w:top w:val="single" w:sz="4" w:space="0" w:color="auto"/>
              <w:left w:val="nil"/>
              <w:bottom w:val="nil"/>
              <w:right w:val="nil"/>
            </w:tcBorders>
            <w:hideMark/>
          </w:tcPr>
          <w:p w:rsidR="00975746" w:rsidRPr="00C13ED9" w:rsidRDefault="00975746" w:rsidP="006F553B">
            <w:pPr>
              <w:spacing w:line="360" w:lineRule="auto"/>
              <w:ind w:left="-199"/>
              <w:jc w:val="center"/>
              <w:rPr>
                <w:rFonts w:ascii="Courier New" w:hAnsi="Courier New"/>
                <w:b/>
                <w:bCs/>
                <w:rtl/>
              </w:rPr>
            </w:pPr>
            <w:r w:rsidRPr="00C13ED9">
              <w:rPr>
                <w:rFonts w:ascii="Courier New" w:hAnsi="Courier New"/>
                <w:b/>
                <w:bCs/>
                <w:rtl/>
              </w:rPr>
              <w:t>טלי חיימוביץ, שופטת</w:t>
            </w:r>
          </w:p>
        </w:tc>
        <w:tc>
          <w:tcPr>
            <w:tcW w:w="236" w:type="dxa"/>
          </w:tcPr>
          <w:p w:rsidR="00975746" w:rsidRPr="00C13ED9" w:rsidRDefault="00975746" w:rsidP="006F553B">
            <w:pPr>
              <w:tabs>
                <w:tab w:val="left" w:pos="5426"/>
              </w:tabs>
              <w:spacing w:line="360" w:lineRule="auto"/>
              <w:ind w:left="-199"/>
              <w:rPr>
                <w:rFonts w:asciiTheme="minorHAnsi" w:hAnsiTheme="minorHAnsi"/>
                <w:rtl/>
              </w:rPr>
            </w:pPr>
          </w:p>
        </w:tc>
        <w:tc>
          <w:tcPr>
            <w:tcW w:w="2512" w:type="dxa"/>
            <w:tcBorders>
              <w:top w:val="single" w:sz="4" w:space="0" w:color="auto"/>
              <w:left w:val="nil"/>
              <w:bottom w:val="nil"/>
              <w:right w:val="nil"/>
            </w:tcBorders>
            <w:hideMark/>
          </w:tcPr>
          <w:p w:rsidR="00975746" w:rsidRDefault="00975746" w:rsidP="006F553B">
            <w:pPr>
              <w:spacing w:line="360" w:lineRule="auto"/>
              <w:ind w:left="-199"/>
              <w:jc w:val="center"/>
              <w:rPr>
                <w:rFonts w:ascii="Courier New" w:hAnsi="Courier New"/>
                <w:b/>
                <w:bCs/>
                <w:rtl/>
              </w:rPr>
            </w:pPr>
            <w:r w:rsidRPr="00C13ED9">
              <w:rPr>
                <w:rFonts w:ascii="Courier New" w:hAnsi="Courier New"/>
                <w:b/>
                <w:bCs/>
                <w:rtl/>
              </w:rPr>
              <w:t>לימור ביבי, שופטת</w:t>
            </w:r>
          </w:p>
        </w:tc>
      </w:tr>
    </w:tbl>
    <w:p w:rsidR="00507694" w:rsidRPr="007456E9" w:rsidRDefault="00507694" w:rsidP="0046366D">
      <w:pPr>
        <w:pStyle w:val="a3"/>
        <w:rPr>
          <w:rtl/>
        </w:rPr>
      </w:pPr>
    </w:p>
    <w:sectPr w:rsidR="00507694" w:rsidRPr="007456E9" w:rsidSect="002D31C2">
      <w:headerReference w:type="default" r:id="rId24"/>
      <w:footerReference w:type="even" r:id="rId25"/>
      <w:footerReference w:type="default" r:id="rId26"/>
      <w:pgSz w:w="11907" w:h="16840" w:code="9"/>
      <w:pgMar w:top="244" w:right="1474" w:bottom="1134" w:left="1474"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061" w:rsidRDefault="006C2061">
      <w:r>
        <w:separator/>
      </w:r>
    </w:p>
  </w:endnote>
  <w:endnote w:type="continuationSeparator" w:id="0">
    <w:p w:rsidR="006C2061" w:rsidRDefault="006C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5"/>
      <w:framePr w:wrap="around" w:vAnchor="text" w:hAnchor="text" w:y="1"/>
      <w:rPr>
        <w:rStyle w:val="aa"/>
      </w:rPr>
    </w:pPr>
    <w:r>
      <w:rPr>
        <w:rStyle w:val="aa"/>
        <w:rtl/>
      </w:rPr>
      <w:fldChar w:fldCharType="begin"/>
    </w:r>
    <w:r w:rsidR="00BD67E7">
      <w:rPr>
        <w:rStyle w:val="aa"/>
      </w:rPr>
      <w:instrText xml:space="preserve">PAGE  </w:instrText>
    </w:r>
    <w:r>
      <w:rPr>
        <w:rStyle w:val="aa"/>
        <w:rtl/>
      </w:rPr>
      <w:fldChar w:fldCharType="end"/>
    </w:r>
  </w:p>
  <w:p w:rsidR="00BD67E7" w:rsidRDefault="00BD67E7" w:rsidP="00BD67E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5"/>
      <w:ind w:right="360"/>
      <w:jc w:val="center"/>
    </w:pPr>
    <w:r>
      <w:rPr>
        <w:rtl/>
      </w:rPr>
      <w:t>עמוד</w:t>
    </w:r>
    <w:r>
      <w:t xml:space="preserve"> </w:t>
    </w:r>
    <w:r w:rsidR="0006726A">
      <w:fldChar w:fldCharType="begin"/>
    </w:r>
    <w:r>
      <w:instrText xml:space="preserve"> PAGE </w:instrText>
    </w:r>
    <w:r w:rsidR="0006726A">
      <w:fldChar w:fldCharType="separate"/>
    </w:r>
    <w:r w:rsidR="00C1184C">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C1184C">
      <w:rPr>
        <w:noProof/>
        <w:rtl/>
      </w:rPr>
      <w:t>1</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061" w:rsidRDefault="006C2061">
      <w:r>
        <w:separator/>
      </w:r>
    </w:p>
  </w:footnote>
  <w:footnote w:type="continuationSeparator" w:id="0">
    <w:p w:rsidR="006C2061" w:rsidRDefault="006C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63BCE173" wp14:editId="6021DD41">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131"/>
      <w:gridCol w:w="3730"/>
    </w:tblGrid>
    <w:tr w:rsidR="00507694" w:rsidTr="003B0863">
      <w:trPr>
        <w:trHeight w:hRule="exact" w:val="418"/>
        <w:jc w:val="center"/>
      </w:trPr>
      <w:sdt>
        <w:sdtPr>
          <w:rPr>
            <w:sz w:val="32"/>
            <w:szCs w:val="32"/>
            <w:rtl/>
          </w:rPr>
          <w:alias w:val="1174"/>
          <w:tag w:val="1174"/>
          <w:id w:val="-140351139"/>
          <w:text/>
        </w:sdtPr>
        <w:sdtEndPr/>
        <w:sdtContent>
          <w:tc>
            <w:tcPr>
              <w:tcW w:w="8861" w:type="dxa"/>
              <w:gridSpan w:val="2"/>
            </w:tcPr>
            <w:p w:rsidR="00507694" w:rsidRPr="00D509AD" w:rsidRDefault="00684E84">
              <w:pPr>
                <w:pStyle w:val="a3"/>
                <w:jc w:val="center"/>
                <w:rPr>
                  <w:rFonts w:ascii="Tahoma" w:hAnsi="Tahoma"/>
                  <w:color w:val="000080"/>
                  <w:sz w:val="32"/>
                  <w:szCs w:val="32"/>
                  <w:rtl/>
                </w:rPr>
              </w:pPr>
              <w:r w:rsidRPr="00D509AD">
                <w:rPr>
                  <w:rFonts w:ascii="Tahoma" w:hAnsi="Tahoma"/>
                  <w:b/>
                  <w:bCs/>
                  <w:color w:val="000080"/>
                  <w:sz w:val="32"/>
                  <w:szCs w:val="32"/>
                  <w:rtl/>
                </w:rPr>
                <w:t>בית המשפט המחוזי בתל אביב -יפו</w:t>
              </w:r>
            </w:p>
          </w:tc>
        </w:sdtContent>
      </w:sdt>
    </w:tr>
    <w:tr w:rsidR="00507694" w:rsidRPr="00E975C2" w:rsidTr="003B0863">
      <w:trPr>
        <w:trHeight w:val="337"/>
        <w:jc w:val="center"/>
      </w:trPr>
      <w:tc>
        <w:tcPr>
          <w:tcW w:w="5131" w:type="dxa"/>
        </w:tcPr>
        <w:p w:rsidR="00507694" w:rsidRPr="003B0863" w:rsidRDefault="006C2061" w:rsidP="003B0863">
          <w:pPr>
            <w:rPr>
              <w:sz w:val="26"/>
              <w:szCs w:val="26"/>
              <w:rtl/>
            </w:rPr>
          </w:pPr>
          <w:sdt>
            <w:sdtPr>
              <w:rPr>
                <w:sz w:val="26"/>
                <w:szCs w:val="26"/>
                <w:rtl/>
              </w:rPr>
              <w:alias w:val="1170"/>
              <w:tag w:val="1170"/>
              <w:id w:val="2112628154"/>
              <w:text w:multiLine="1"/>
            </w:sdtPr>
            <w:sdtEndPr/>
            <w:sdtContent>
              <w:r w:rsidR="000015DF">
                <w:rPr>
                  <w:sz w:val="26"/>
                  <w:szCs w:val="26"/>
                  <w:rtl/>
                </w:rPr>
                <w:t>תפ"ח</w:t>
              </w:r>
            </w:sdtContent>
          </w:sdt>
          <w:r w:rsidR="00684E84" w:rsidRPr="00E975C2">
            <w:rPr>
              <w:rFonts w:hint="cs"/>
              <w:sz w:val="26"/>
              <w:szCs w:val="26"/>
              <w:rtl/>
            </w:rPr>
            <w:t xml:space="preserve"> </w:t>
          </w:r>
          <w:sdt>
            <w:sdtPr>
              <w:rPr>
                <w:sz w:val="26"/>
                <w:szCs w:val="26"/>
                <w:rtl/>
              </w:rPr>
              <w:alias w:val="1171"/>
              <w:tag w:val="1171"/>
              <w:id w:val="-1870053316"/>
              <w:text w:multiLine="1"/>
            </w:sdtPr>
            <w:sdtEndPr/>
            <w:sdtContent>
              <w:r w:rsidR="000015DF">
                <w:rPr>
                  <w:sz w:val="26"/>
                  <w:szCs w:val="26"/>
                  <w:rtl/>
                </w:rPr>
                <w:t>34198-06-18</w:t>
              </w:r>
            </w:sdtContent>
          </w:sdt>
          <w:r w:rsidR="00684E84" w:rsidRPr="00E975C2">
            <w:rPr>
              <w:rFonts w:hint="cs"/>
              <w:sz w:val="26"/>
              <w:szCs w:val="26"/>
              <w:rtl/>
            </w:rPr>
            <w:t xml:space="preserve"> </w:t>
          </w:r>
          <w:sdt>
            <w:sdtPr>
              <w:rPr>
                <w:sz w:val="26"/>
                <w:szCs w:val="26"/>
                <w:rtl/>
              </w:rPr>
              <w:alias w:val="1172"/>
              <w:tag w:val="1172"/>
              <w:id w:val="-2143494014"/>
              <w:text w:multiLine="1"/>
            </w:sdtPr>
            <w:sdtEndPr/>
            <w:sdtContent>
              <w:r w:rsidR="000015DF">
                <w:rPr>
                  <w:sz w:val="26"/>
                  <w:szCs w:val="26"/>
                  <w:rtl/>
                </w:rPr>
                <w:t>מדינת ישראל נ' מאלוק</w:t>
              </w:r>
              <w:r w:rsidR="003B0863">
                <w:rPr>
                  <w:rFonts w:hint="cs"/>
                  <w:sz w:val="26"/>
                  <w:szCs w:val="26"/>
                  <w:rtl/>
                </w:rPr>
                <w:t xml:space="preserve"> </w:t>
              </w:r>
              <w:r w:rsidR="000015DF">
                <w:rPr>
                  <w:sz w:val="26"/>
                  <w:szCs w:val="26"/>
                  <w:rtl/>
                </w:rPr>
                <w:t>(עציר)</w:t>
              </w:r>
            </w:sdtContent>
          </w:sdt>
        </w:p>
      </w:tc>
      <w:tc>
        <w:tcPr>
          <w:tcW w:w="3730" w:type="dxa"/>
        </w:tcPr>
        <w:p w:rsidR="00507694" w:rsidRPr="00E975C2" w:rsidRDefault="003B0863" w:rsidP="003B0863">
          <w:pPr>
            <w:pStyle w:val="a3"/>
            <w:jc w:val="right"/>
            <w:rPr>
              <w:sz w:val="26"/>
              <w:szCs w:val="26"/>
              <w:rtl/>
            </w:rPr>
          </w:pPr>
          <w:r>
            <w:rPr>
              <w:rFonts w:hint="cs"/>
              <w:sz w:val="26"/>
              <w:szCs w:val="26"/>
              <w:rtl/>
            </w:rPr>
            <w:t>14 דצמבר 2023</w:t>
          </w:r>
        </w:p>
      </w:tc>
    </w:tr>
  </w:tbl>
  <w:p w:rsidR="00507694" w:rsidRPr="00E975C2" w:rsidRDefault="002D31C2" w:rsidP="002D31C2">
    <w:pPr>
      <w:pStyle w:val="a3"/>
      <w:tabs>
        <w:tab w:val="clear" w:pos="4153"/>
        <w:tab w:val="clear" w:pos="8306"/>
        <w:tab w:val="left" w:pos="1035"/>
      </w:tabs>
      <w:rPr>
        <w:sz w:val="26"/>
        <w:szCs w:val="26"/>
        <w:rtl/>
      </w:rPr>
    </w:pPr>
    <w:r w:rsidRPr="00E975C2">
      <w:rPr>
        <w:sz w:val="26"/>
        <w:szCs w:val="26"/>
        <w:rtl/>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189175E"/>
    <w:multiLevelType w:val="hybridMultilevel"/>
    <w:tmpl w:val="AE0805F6"/>
    <w:lvl w:ilvl="0" w:tplc="F1D4E006">
      <w:start w:val="1"/>
      <w:numFmt w:val="decimal"/>
      <w:lvlText w:val="%1."/>
      <w:lvlJc w:val="left"/>
      <w:pPr>
        <w:ind w:left="645" w:hanging="645"/>
      </w:pPr>
      <w:rPr>
        <w:lang w:bidi="he-IL"/>
      </w:rPr>
    </w:lvl>
    <w:lvl w:ilvl="1" w:tplc="04090019">
      <w:start w:val="1"/>
      <w:numFmt w:val="lowerLetter"/>
      <w:lvlText w:val="%2."/>
      <w:lvlJc w:val="left"/>
      <w:pPr>
        <w:ind w:left="1270" w:hanging="360"/>
      </w:pPr>
    </w:lvl>
    <w:lvl w:ilvl="2" w:tplc="0409001B">
      <w:start w:val="1"/>
      <w:numFmt w:val="lowerRoman"/>
      <w:lvlText w:val="%3."/>
      <w:lvlJc w:val="right"/>
      <w:pPr>
        <w:ind w:left="1990" w:hanging="180"/>
      </w:pPr>
    </w:lvl>
    <w:lvl w:ilvl="3" w:tplc="0409000F">
      <w:start w:val="1"/>
      <w:numFmt w:val="decimal"/>
      <w:lvlText w:val="%4."/>
      <w:lvlJc w:val="left"/>
      <w:pPr>
        <w:ind w:left="2710" w:hanging="360"/>
      </w:pPr>
    </w:lvl>
    <w:lvl w:ilvl="4" w:tplc="04090019">
      <w:start w:val="1"/>
      <w:numFmt w:val="lowerLetter"/>
      <w:lvlText w:val="%5."/>
      <w:lvlJc w:val="left"/>
      <w:pPr>
        <w:ind w:left="3430" w:hanging="360"/>
      </w:pPr>
    </w:lvl>
    <w:lvl w:ilvl="5" w:tplc="0409001B">
      <w:start w:val="1"/>
      <w:numFmt w:val="lowerRoman"/>
      <w:lvlText w:val="%6."/>
      <w:lvlJc w:val="right"/>
      <w:pPr>
        <w:ind w:left="4150" w:hanging="180"/>
      </w:pPr>
    </w:lvl>
    <w:lvl w:ilvl="6" w:tplc="0409000F">
      <w:start w:val="1"/>
      <w:numFmt w:val="decimal"/>
      <w:lvlText w:val="%7."/>
      <w:lvlJc w:val="left"/>
      <w:pPr>
        <w:ind w:left="4870" w:hanging="360"/>
      </w:pPr>
    </w:lvl>
    <w:lvl w:ilvl="7" w:tplc="04090019">
      <w:start w:val="1"/>
      <w:numFmt w:val="lowerLetter"/>
      <w:lvlText w:val="%8."/>
      <w:lvlJc w:val="left"/>
      <w:pPr>
        <w:ind w:left="5590" w:hanging="360"/>
      </w:pPr>
    </w:lvl>
    <w:lvl w:ilvl="8" w:tplc="0409001B">
      <w:start w:val="1"/>
      <w:numFmt w:val="lowerRoman"/>
      <w:lvlText w:val="%9."/>
      <w:lvlJc w:val="right"/>
      <w:pPr>
        <w:ind w:left="631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B5E461D"/>
    <w:multiLevelType w:val="hybridMultilevel"/>
    <w:tmpl w:val="3AD0ADD6"/>
    <w:lvl w:ilvl="0" w:tplc="89BC5EB8">
      <w:start w:val="1"/>
      <w:numFmt w:val="decimal"/>
      <w:lvlText w:val="%1."/>
      <w:lvlJc w:val="left"/>
      <w:pPr>
        <w:ind w:left="161" w:hanging="360"/>
      </w:pPr>
      <w:rPr>
        <w:rFonts w:hint="default"/>
      </w:rPr>
    </w:lvl>
    <w:lvl w:ilvl="1" w:tplc="04090019" w:tentative="1">
      <w:start w:val="1"/>
      <w:numFmt w:val="lowerLetter"/>
      <w:lvlText w:val="%2."/>
      <w:lvlJc w:val="left"/>
      <w:pPr>
        <w:ind w:left="881" w:hanging="360"/>
      </w:pPr>
    </w:lvl>
    <w:lvl w:ilvl="2" w:tplc="0409001B" w:tentative="1">
      <w:start w:val="1"/>
      <w:numFmt w:val="lowerRoman"/>
      <w:lvlText w:val="%3."/>
      <w:lvlJc w:val="right"/>
      <w:pPr>
        <w:ind w:left="1601" w:hanging="180"/>
      </w:pPr>
    </w:lvl>
    <w:lvl w:ilvl="3" w:tplc="0409000F" w:tentative="1">
      <w:start w:val="1"/>
      <w:numFmt w:val="decimal"/>
      <w:lvlText w:val="%4."/>
      <w:lvlJc w:val="left"/>
      <w:pPr>
        <w:ind w:left="2321" w:hanging="360"/>
      </w:pPr>
    </w:lvl>
    <w:lvl w:ilvl="4" w:tplc="04090019" w:tentative="1">
      <w:start w:val="1"/>
      <w:numFmt w:val="lowerLetter"/>
      <w:lvlText w:val="%5."/>
      <w:lvlJc w:val="left"/>
      <w:pPr>
        <w:ind w:left="3041" w:hanging="360"/>
      </w:pPr>
    </w:lvl>
    <w:lvl w:ilvl="5" w:tplc="0409001B" w:tentative="1">
      <w:start w:val="1"/>
      <w:numFmt w:val="lowerRoman"/>
      <w:lvlText w:val="%6."/>
      <w:lvlJc w:val="right"/>
      <w:pPr>
        <w:ind w:left="3761" w:hanging="180"/>
      </w:pPr>
    </w:lvl>
    <w:lvl w:ilvl="6" w:tplc="0409000F" w:tentative="1">
      <w:start w:val="1"/>
      <w:numFmt w:val="decimal"/>
      <w:lvlText w:val="%7."/>
      <w:lvlJc w:val="left"/>
      <w:pPr>
        <w:ind w:left="4481" w:hanging="360"/>
      </w:pPr>
    </w:lvl>
    <w:lvl w:ilvl="7" w:tplc="04090019" w:tentative="1">
      <w:start w:val="1"/>
      <w:numFmt w:val="lowerLetter"/>
      <w:lvlText w:val="%8."/>
      <w:lvlJc w:val="left"/>
      <w:pPr>
        <w:ind w:left="5201" w:hanging="360"/>
      </w:pPr>
    </w:lvl>
    <w:lvl w:ilvl="8" w:tplc="0409001B" w:tentative="1">
      <w:start w:val="1"/>
      <w:numFmt w:val="lowerRoman"/>
      <w:lvlText w:val="%9."/>
      <w:lvlJc w:val="right"/>
      <w:pPr>
        <w:ind w:left="5921" w:hanging="180"/>
      </w:pPr>
    </w:lvl>
  </w:abstractNum>
  <w:abstractNum w:abstractNumId="4" w15:restartNumberingAfterBreak="0">
    <w:nsid w:val="7EE02A32"/>
    <w:multiLevelType w:val="hybridMultilevel"/>
    <w:tmpl w:val="AC500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55912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559122&amp;lt;/CaseID&amp;gt;_x000d__x000a_        &amp;lt;CaseMonth&amp;gt;6&amp;lt;/CaseMonth&amp;gt;_x000d__x000a_        &amp;lt;CaseYear&amp;gt;2018&amp;lt;/CaseYear&amp;gt;_x000d__x000a_        &amp;lt;CaseNumber&amp;gt;34198&amp;lt;/CaseNumber&amp;gt;_x000d__x000a_        &amp;lt;NumeratorGroupID&amp;gt;1&amp;lt;/NumeratorGroupID&amp;gt;_x000d__x000a_        &amp;lt;CaseName&amp;gt;מדינת ישראל נ&amp;#39; מאלוק(עציר)&amp;lt;/CaseName&amp;gt;_x000d__x000a_        &amp;lt;CourtID&amp;gt;15&amp;lt;/CourtID&amp;gt;_x000d__x000a_        &amp;lt;CaseTypeID&amp;gt;10077&amp;lt;/CaseTypeID&amp;gt;_x000d__x000a_        &amp;lt;CaseJudgeName&amp;gt;גלעד נויטל&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4198-06-18&amp;lt;/CaseDisplayIdentifier&amp;gt;_x000d__x000a_        &amp;lt;CaseTypeDesc&amp;gt;תפ&amp;quot;ח&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18-06-14T11:33: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גלעד&amp;lt;/CaseJudgeFirstName&amp;gt;_x000d__x000a_        &amp;lt;CaseJudgeLastName&amp;gt;נויטל&amp;lt;/CaseJudgeLastName&amp;gt;_x000d__x000a_        &amp;lt;JudicalPersonID&amp;gt;056151889@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מעצר הנא&amp;#39; הוארך בפעם 19 ב-90 ימים בהסכמה מ-9.10&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559122&amp;lt;/CaseID&amp;gt;_x000d__x000a_        &amp;lt;CaseMonth&amp;gt;6&amp;lt;/CaseMonth&amp;gt;_x000d__x000a_        &amp;lt;CaseYear&amp;gt;2018&amp;lt;/CaseYear&amp;gt;_x000d__x000a_        &amp;lt;CaseNumber&amp;gt;34198&amp;lt;/CaseNumber&amp;gt;_x000d__x000a_        &amp;lt;NumeratorGroupID&amp;gt;1&amp;lt;/NumeratorGroupID&amp;gt;_x000d__x000a_        &amp;lt;CaseName&amp;gt;מדינת ישראל נ&amp;#39; מאלוק(עציר)&amp;lt;/CaseName&amp;gt;_x000d__x000a_        &amp;lt;CourtID&amp;gt;15&amp;lt;/CourtID&amp;gt;_x000d__x000a_        &amp;lt;CaseTypeID&amp;gt;10077&amp;lt;/CaseTypeID&amp;gt;_x000d__x000a_        &amp;lt;CaseJudgeName&amp;gt;גלעד נויטל&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4198-06-18&amp;lt;/CaseDisplayIdentifier&amp;gt;_x000d__x000a_        &amp;lt;CaseTypeDesc&amp;gt;תפ&amp;quot;ח&amp;lt;/CaseTypeDesc&amp;gt;_x000d__x000a_        &amp;lt;CourtDesc&amp;gt;המחוזי תל אביב - יפו&amp;lt;/CourtDesc&amp;gt;_x000d__x000a_        &amp;lt;CaseStageDesc&amp;gt;תיק אלקטרוני&amp;lt;/CaseStageDesc&amp;gt;_x000d__x000a_        &amp;lt;CaseNextDeterminingTask&amp;gt;150&amp;lt;/CaseNextDeterminingTask&amp;gt;_x000d__x000a_        &amp;lt;CaseOpenDate&amp;gt;2018-06-14T11:33: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גלעד&amp;lt;/CaseJudgeFirstName&amp;gt;_x000d__x000a_        &amp;lt;CaseJudgeLastName&amp;gt;נויטל&amp;lt;/CaseJudgeLastName&amp;gt;_x000d__x000a_        &amp;lt;JudicalPersonID&amp;gt;056151889@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מעצר הנא&amp;#39; הוארך בפעם 19 ב-90 ימים בהסכמה מ-9.10&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497399&amp;lt;/DecisionID&amp;gt;_x000d__x000a_        &amp;lt;DecisionName&amp;gt;גזר דין  שניתנה ע&amp;quot;י  גלעד נויטל&amp;lt;/DecisionName&amp;gt;_x000d__x000a_        &amp;lt;DecisionStatusID&amp;gt;1&amp;lt;/DecisionStatusID&amp;gt;_x000d__x000a_        &amp;lt;DecisionStatusChangeDate&amp;gt;2023-12-12T11:45:17.263+02:00&amp;lt;/DecisionStatusChangeDate&amp;gt;_x000d__x000a_        &amp;lt;DecisionSignatureDate&amp;gt;2023-12-10T14:36:16.343+02:00&amp;lt;/DecisionSignatureDate&amp;gt;_x000d__x000a_        &amp;lt;DecisionSignatureUserID&amp;gt;056151889@GOV.IL&amp;lt;/DecisionSignatureUserID&amp;gt;_x000d__x000a_        &amp;lt;DecisionCreateDate&amp;gt;2023-12-10T14:38:10.59+02:00&amp;lt;/DecisionCreateDate&amp;gt;_x000d__x000a_        &amp;lt;DecisionChangeDate&amp;gt;2023-12-12T11:45:18+02:00&amp;lt;/DecisionChangeDate&amp;gt;_x000d__x000a_        &amp;lt;DecisionChangeUserID&amp;gt;20008218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28085499&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15188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0082188@GOV.IL&amp;lt;/DecisionCreationUserID&amp;gt;_x000d__x000a_        &amp;lt;DecisionDisplayName&amp;gt;גזר דין  שניתנה ע&amp;quot;י  גלעד נויטל&amp;lt;/DecisionDisplayName&amp;gt;_x000d__x000a_        &amp;lt;IsScanned&amp;gt;false&amp;lt;/IsScanned&amp;gt;_x000d__x000a_        &amp;lt;DecisionSignatureUserName&amp;gt;גלעד נויט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amp;gt;_x000d__x000a_        &amp;lt;DecisionID&amp;gt;148497399&amp;lt;/DecisionID&amp;gt;_x000d__x000a_        &amp;lt;CaseID&amp;gt;75559122&amp;lt;/CaseID&amp;gt;_x000d__x000a_        &amp;lt;IsOriginal&amp;gt;true&amp;lt;/IsOriginal&amp;gt;_x000d__x000a_        &amp;lt;IsDeleted&amp;gt;false&amp;lt;/IsDeleted&amp;gt;_x000d__x000a_        &amp;lt;CaseName&amp;gt;מדינת ישראל נ&amp;#39; מאלוק(עציר)&amp;lt;/CaseName&amp;gt;_x000d__x000a_        &amp;lt;CaseDisplayIdentifier&amp;gt;34198-06-18 תפ&amp;quot;ח&amp;lt;/CaseDisplayIdentifier&amp;gt;_x000d__x000a_      &amp;lt;/dt_DecisionCase&amp;gt;_x000d__x000a_      &amp;lt;dt_DecisionJudgePanel diffgr:id=&amp;quot;dt_DecisionJudgePanel1&amp;quot; msdata:rowOrder=&amp;quot;0&amp;quot;&amp;gt;_x000d__x000a_        &amp;lt;DecisionID&amp;gt;148497399&amp;lt;/DecisionID&amp;gt;_x000d__x000a_        &amp;lt;JudgeID&amp;gt;056151889@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8497399&amp;lt;/DecisionID&amp;gt;_x000d__x000a_        &amp;lt;JudgeID&amp;gt;057268427@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8497399&amp;lt;/DecisionID&amp;gt;_x000d__x000a_        &amp;lt;JudgeID&amp;gt;023874597@GOV.IL&amp;lt;/JudgeID&amp;gt;_x000d__x000a_        &amp;lt;OrdinalNumber&amp;gt;3&amp;lt;/OrdinalNumber&amp;gt;_x000d__x000a_      &amp;lt;/dt_DecisionJudgePanel&amp;gt;_x000d__x000a_    &amp;lt;/DecisionDS&amp;gt;_x000d__x000a_  &amp;lt;/diffgr:diffgram&amp;gt;_x000d__x000a_&amp;lt;/DecisionDS&amp;gt;"/>
    <w:docVar w:name="DecisionID" w:val="148497399"/>
    <w:docVar w:name="docID" w:val="428085499"/>
    <w:docVar w:name="judgeUPN" w:val="056151889@GOV.IL"/>
    <w:docVar w:name="NGCS.TemplateCaseInterestID" w:val="-1"/>
    <w:docVar w:name="NGCS.TemplateCaseTypeID" w:val="10077"/>
    <w:docVar w:name="NGCS.TemplateCourtID" w:val="15"/>
    <w:docVar w:name="NGCS.TemplateProceedingID" w:val="2"/>
    <w:docVar w:name="noteDocID" w:val="428085499"/>
    <w:docVar w:name="WordClientAssemblyName" w:val="NGCS.Decision.ClientWordBL"/>
    <w:docVar w:name="WordClientClassName" w:val="NGCS.Decision.ClientWordBL.JudgePanelSignDecisionClient"/>
  </w:docVars>
  <w:rsids>
    <w:rsidRoot w:val="00507694"/>
    <w:rsid w:val="000015DF"/>
    <w:rsid w:val="00002342"/>
    <w:rsid w:val="000476BC"/>
    <w:rsid w:val="00050CDD"/>
    <w:rsid w:val="00054FC4"/>
    <w:rsid w:val="0006726A"/>
    <w:rsid w:val="00100577"/>
    <w:rsid w:val="00117EB6"/>
    <w:rsid w:val="00137206"/>
    <w:rsid w:val="001D129A"/>
    <w:rsid w:val="001F2DAD"/>
    <w:rsid w:val="00212125"/>
    <w:rsid w:val="00257498"/>
    <w:rsid w:val="002A3638"/>
    <w:rsid w:val="002B779D"/>
    <w:rsid w:val="002D31C2"/>
    <w:rsid w:val="00304DFA"/>
    <w:rsid w:val="00313388"/>
    <w:rsid w:val="00367565"/>
    <w:rsid w:val="003B0863"/>
    <w:rsid w:val="003C277E"/>
    <w:rsid w:val="003D06BD"/>
    <w:rsid w:val="003E2C2D"/>
    <w:rsid w:val="00435D81"/>
    <w:rsid w:val="00441457"/>
    <w:rsid w:val="0046366D"/>
    <w:rsid w:val="004653B0"/>
    <w:rsid w:val="004A7114"/>
    <w:rsid w:val="004B1358"/>
    <w:rsid w:val="004C76AA"/>
    <w:rsid w:val="004E3571"/>
    <w:rsid w:val="004E5A42"/>
    <w:rsid w:val="00507694"/>
    <w:rsid w:val="00525820"/>
    <w:rsid w:val="00551F16"/>
    <w:rsid w:val="00596657"/>
    <w:rsid w:val="005C7B0B"/>
    <w:rsid w:val="005D5241"/>
    <w:rsid w:val="006324A0"/>
    <w:rsid w:val="00683ABD"/>
    <w:rsid w:val="00684E84"/>
    <w:rsid w:val="00687C86"/>
    <w:rsid w:val="006C2061"/>
    <w:rsid w:val="006C4385"/>
    <w:rsid w:val="006E1BCE"/>
    <w:rsid w:val="006F553B"/>
    <w:rsid w:val="007115B7"/>
    <w:rsid w:val="0071607C"/>
    <w:rsid w:val="007456E9"/>
    <w:rsid w:val="00757983"/>
    <w:rsid w:val="007C4BA9"/>
    <w:rsid w:val="00832D73"/>
    <w:rsid w:val="008B5F76"/>
    <w:rsid w:val="00926742"/>
    <w:rsid w:val="00975746"/>
    <w:rsid w:val="009A361C"/>
    <w:rsid w:val="009D07C5"/>
    <w:rsid w:val="009E35A7"/>
    <w:rsid w:val="009E49A1"/>
    <w:rsid w:val="00A01A1F"/>
    <w:rsid w:val="00A1540B"/>
    <w:rsid w:val="00A165D0"/>
    <w:rsid w:val="00A20FBC"/>
    <w:rsid w:val="00A34BAA"/>
    <w:rsid w:val="00A504C4"/>
    <w:rsid w:val="00A97891"/>
    <w:rsid w:val="00AB0A98"/>
    <w:rsid w:val="00B10B70"/>
    <w:rsid w:val="00B361A3"/>
    <w:rsid w:val="00B54FB2"/>
    <w:rsid w:val="00B63953"/>
    <w:rsid w:val="00BA2926"/>
    <w:rsid w:val="00BD67E7"/>
    <w:rsid w:val="00BE0015"/>
    <w:rsid w:val="00C02463"/>
    <w:rsid w:val="00C1184C"/>
    <w:rsid w:val="00C13ED9"/>
    <w:rsid w:val="00C30942"/>
    <w:rsid w:val="00C55E62"/>
    <w:rsid w:val="00C572E8"/>
    <w:rsid w:val="00C64F85"/>
    <w:rsid w:val="00C839E1"/>
    <w:rsid w:val="00CC1587"/>
    <w:rsid w:val="00D202F4"/>
    <w:rsid w:val="00D3203D"/>
    <w:rsid w:val="00D509AD"/>
    <w:rsid w:val="00D6593A"/>
    <w:rsid w:val="00DF3EB3"/>
    <w:rsid w:val="00E70F9C"/>
    <w:rsid w:val="00E72386"/>
    <w:rsid w:val="00E975C2"/>
    <w:rsid w:val="00E9782E"/>
    <w:rsid w:val="00EB595F"/>
    <w:rsid w:val="00EC25BA"/>
    <w:rsid w:val="00F26EE7"/>
    <w:rsid w:val="00F47749"/>
    <w:rsid w:val="00FC6B0D"/>
    <w:rsid w:val="00FE56D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6FACC06-26F9-4866-A070-B978261C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A7B41"/>
    <w:pPr>
      <w:tabs>
        <w:tab w:val="center" w:pos="4153"/>
        <w:tab w:val="right" w:pos="8306"/>
      </w:tabs>
    </w:pPr>
  </w:style>
  <w:style w:type="paragraph" w:styleId="a5">
    <w:name w:val="footer"/>
    <w:basedOn w:val="a"/>
    <w:rsid w:val="003A7B41"/>
    <w:pPr>
      <w:tabs>
        <w:tab w:val="center" w:pos="4153"/>
        <w:tab w:val="right" w:pos="8306"/>
      </w:tabs>
    </w:pPr>
  </w:style>
  <w:style w:type="character" w:styleId="a6">
    <w:name w:val="annotation reference"/>
    <w:basedOn w:val="a0"/>
    <w:semiHidden/>
    <w:rsid w:val="003A7B41"/>
    <w:rPr>
      <w:sz w:val="16"/>
      <w:szCs w:val="16"/>
    </w:rPr>
  </w:style>
  <w:style w:type="paragraph" w:styleId="a7">
    <w:name w:val="annotation text"/>
    <w:basedOn w:val="a"/>
    <w:semiHidden/>
    <w:rsid w:val="003A7B41"/>
    <w:rPr>
      <w:rFonts w:cs="Times New Roman"/>
      <w:lang w:eastAsia="he-IL"/>
    </w:rPr>
  </w:style>
  <w:style w:type="paragraph" w:styleId="a8">
    <w:name w:val="Balloon Text"/>
    <w:basedOn w:val="a"/>
    <w:semiHidden/>
    <w:rsid w:val="003A7B41"/>
    <w:rPr>
      <w:rFonts w:ascii="Tahoma" w:hAnsi="Tahoma" w:cs="Tahoma"/>
      <w:sz w:val="16"/>
      <w:szCs w:val="16"/>
    </w:rPr>
  </w:style>
  <w:style w:type="table" w:styleId="a9">
    <w:name w:val="Table Grid"/>
    <w:basedOn w:val="a1"/>
    <w:uiPriority w:val="39"/>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rsid w:val="00BD67E7"/>
  </w:style>
  <w:style w:type="character" w:customStyle="1" w:styleId="a4">
    <w:name w:val="כותרת עליונה תו"/>
    <w:basedOn w:val="a0"/>
    <w:link w:val="a3"/>
    <w:rsid w:val="00975746"/>
    <w:rPr>
      <w:rFonts w:cs="David"/>
      <w:sz w:val="24"/>
      <w:szCs w:val="24"/>
    </w:rPr>
  </w:style>
  <w:style w:type="paragraph" w:styleId="ab">
    <w:name w:val="List Paragraph"/>
    <w:basedOn w:val="a"/>
    <w:uiPriority w:val="34"/>
    <w:qFormat/>
    <w:rsid w:val="00975746"/>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630905">
      <w:bodyDiv w:val="1"/>
      <w:marLeft w:val="0"/>
      <w:marRight w:val="0"/>
      <w:marTop w:val="0"/>
      <w:marBottom w:val="0"/>
      <w:divBdr>
        <w:top w:val="none" w:sz="0" w:space="0" w:color="auto"/>
        <w:left w:val="none" w:sz="0" w:space="0" w:color="auto"/>
        <w:bottom w:val="none" w:sz="0" w:space="0" w:color="auto"/>
        <w:right w:val="none" w:sz="0" w:space="0" w:color="auto"/>
      </w:divBdr>
    </w:div>
    <w:div w:id="799150075">
      <w:bodyDiv w:val="1"/>
      <w:marLeft w:val="0"/>
      <w:marRight w:val="0"/>
      <w:marTop w:val="0"/>
      <w:marBottom w:val="0"/>
      <w:divBdr>
        <w:top w:val="none" w:sz="0" w:space="0" w:color="auto"/>
        <w:left w:val="none" w:sz="0" w:space="0" w:color="auto"/>
        <w:bottom w:val="none" w:sz="0" w:space="0" w:color="auto"/>
        <w:right w:val="none" w:sz="0" w:space="0" w:color="auto"/>
      </w:divBdr>
    </w:div>
    <w:div w:id="1214080759">
      <w:bodyDiv w:val="1"/>
      <w:marLeft w:val="0"/>
      <w:marRight w:val="0"/>
      <w:marTop w:val="0"/>
      <w:marBottom w:val="0"/>
      <w:divBdr>
        <w:top w:val="none" w:sz="0" w:space="0" w:color="auto"/>
        <w:left w:val="none" w:sz="0" w:space="0" w:color="auto"/>
        <w:bottom w:val="none" w:sz="0" w:space="0" w:color="auto"/>
        <w:right w:val="none" w:sz="0" w:space="0" w:color="auto"/>
      </w:divBdr>
    </w:div>
    <w:div w:id="1289049104">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689746133">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207739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6133254" TargetMode="External"/><Relationship Id="rId18" Type="http://schemas.openxmlformats.org/officeDocument/2006/relationships/hyperlink" Target="http://www.nevo.co.il/case/5670786" TargetMode="Externa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nevo.co.il/case/5573766" TargetMode="External"/><Relationship Id="rId17" Type="http://schemas.openxmlformats.org/officeDocument/2006/relationships/hyperlink" Target="http://www.nevo.co.il/case/5833181"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nevo.co.il/case/5748035" TargetMode="Externa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5569069"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www.nevo.co.il/case/6087473" TargetMode="Externa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hyperlink" Target="http://www.nevo.co.il/case/5733469" TargetMode="External"/><Relationship Id="rId19" Type="http://schemas.openxmlformats.org/officeDocument/2006/relationships/hyperlink" Target="http://www.nevo.co.il/case/559386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5857460" TargetMode="External"/><Relationship Id="rId22" Type="http://schemas.openxmlformats.org/officeDocument/2006/relationships/image" Target="media/image3.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212559313</CasePartyID>
        <PartyTypeID>3</PartyTypeID>
        <ActivityStatusID>1</ActivityStatusID>
        <LegalEntityID>3488503</LegalEntityID>
        <CaseLegalEntityID>111263334</CaseLegalEntityID>
        <AssistantRoleID>26</AssistantRoleID>
        <AuthenticationTypeID>13</AuthenticationTypeID>
        <AuthenticationTypeName>משרדי ממשלה</AuthenticationTypeName>
        <LegalEntityNumber>513441966</LegalEntityNumber>
        <IsMainPartyType>true</IsMainPartyType>
        <CaseDisplayIdentifier>34198-06-18</CaseDisplayIdentifier>
        <CaseTypeID>10077</CaseTypeID>
        <CaseTypeName>תיק פשעים חמורים (תפ"ח)</CaseTypeName>
        <CaseName>מדינת ישראל נ' מאלוק(עציר)</CaseName>
        <FullAddress>הנרייטה סולד 4 תל אביב -יפו </FullAddress>
        <EmailAddress>SanegoriaTelavivMinu@justice.gov.il</EmailAddress>
        <MotionID>0</MotionID>
        <CasePleaID>0</CasePleaID>
        <LinkedCaseID>0</LinkedCaseID>
        <PartyID>1</PartyID>
        <CasePartyCategoryID>2</CasePartyCategoryID>
        <LegalEntityAddressID>12873121</LegalEntityAddressID>
        <LegalEntityEmailAddressID>67958702</LegalEntityEmailAddressID>
        <PleaTypeID>8</PleaTypeID>
        <GroupPartyAlias/>
        <IsConverted>false</IsConverted>
        <LegalEntityRegisteredNameID>5560373</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תל אביב</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עופר אשכנזי</FullName>
        <FirstName>עופר</FirstName>
        <LastName>אשכנזי</LastName>
        <PartyPropertyName/>
        <AuthenticationTypeAndNumber>מ.ר. 27370</AuthenticationTypeAndNumber>
        <RepresentatedOrRepresentativesNames>פאדי מאלוק</RepresentatedOrRepresentativesNames>
        <RepresentatedOrRepresentativesCount>1</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245740059</CasePartyID>
        <PartyTypeID>2</PartyTypeID>
        <ActivityStatusID>1</ActivityStatusID>
        <PartyAliasID>32</PartyAliasID>
        <PartyAliasName>בא כוח נאשמים</PartyAliasName>
        <LegalEntityID>387143</LegalEntityID>
        <CaseLegalEntityID>121279489</CaseLegalEntityID>
        <AuthenticationTypeID>4</AuthenticationTypeID>
        <AuthenticationTypeName>מ.ר.</AuthenticationTypeName>
        <LegalEntityNumber>27370</LegalEntityNumber>
        <IsMainPartyType>true</IsMainPartyType>
        <CaseDisplayIdentifier>34198-06-18</CaseDisplayIdentifier>
        <CaseTypeID>10077</CaseTypeID>
        <CaseTypeName>תיק פשעים חמורים (תפ"ח)</CaseTypeName>
        <CaseName>מדינת ישראל נ' מאלוק(עציר)</CaseName>
        <FullAddress>ז'בוטינסקי 33 רמת גן </FullAddress>
        <MotionID>0</MotionID>
        <CasePleaID>0</CasePleaID>
        <LinkedCaseID>0</LinkedCaseID>
        <PartyID>2</PartyID>
        <CasePartyCategoryID>2</CasePartyCategoryID>
        <LegalEntityAddressID>430125</LegalEntityAddressID>
        <PleaTypeID>8</PleaTypeID>
        <LawyerOfficeName>משרד עו"ד:אשכנזי-קלר</LawyerOfficeName>
        <LawyerOfficeID>427787</LawyerOfficeID>
        <GroupPartyAlias/>
        <IsConverted>false</IsConverted>
        <LegalEntityNameID>8127</LegalEntityNameID>
        <RepresentatedNamesOfAssistant/>
        <LegalEntityTypeID>4</LegalEntityTypeID>
        <IsVerdictExists>false</IsVerdictExists>
        <IsAsirAzir>false</IsAsirAzir>
        <IsPublicationProhibited>false</IsPublicationProhibited>
        <PublicationProhibitedFullName>עופר אשכנזי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שנהב מצה</FullName>
        <FirstName>שנהב</FirstName>
        <LastName>מצה</LastName>
        <PartyPropertyName/>
        <AuthenticationTypeAndNumber>מ.ר. 89448</AuthenticationTypeAndNumber>
        <RepresentatedOrRepresentativesNames>פאדי מאלוק</RepresentatedOrRepresentativesNames>
        <RepresentatedOrRepresentativesCount>1</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245740154</CasePartyID>
        <PartyTypeID>2</PartyTypeID>
        <ActivityStatusID>1</ActivityStatusID>
        <PartyAliasID>32</PartyAliasID>
        <PartyAliasName>בא כוח נאשמים</PartyAliasName>
        <LegalEntityID>80324421</LegalEntityID>
        <CaseLegalEntityID>121279501</CaseLegalEntityID>
        <AuthenticationTypeID>4</AuthenticationTypeID>
        <AuthenticationTypeName>מ.ר.</AuthenticationTypeName>
        <LegalEntityNumber>89448</LegalEntityNumber>
        <IsMainPartyType>true</IsMainPartyType>
        <CaseDisplayIdentifier>34198-06-18</CaseDisplayIdentifier>
        <CaseTypeID>10077</CaseTypeID>
        <CaseTypeName>תיק פשעים חמורים (תפ"ח)</CaseTypeName>
        <CaseName>מדינת ישראל נ' מאלוק(עציר)</CaseName>
        <FullAddress>ז'בוטינסקי 33 רמת גן </FullAddress>
        <MotionID>0</MotionID>
        <CasePleaID>0</CasePleaID>
        <LinkedCaseID>0</LinkedCaseID>
        <PartyID>2</PartyID>
        <CasePartyCategoryID>2</CasePartyCategoryID>
        <LegalEntityAddressID>430125</LegalEntityAddressID>
        <PleaTypeID>8</PleaTypeID>
        <LawyerOfficeName>משרד עו"ד:אשכנזי-קלר</LawyerOfficeName>
        <LawyerOfficeID>427787</LawyerOfficeID>
        <GroupPartyAlias/>
        <IsConverted>false</IsConverted>
        <LegalEntityNameID>92702385</LegalEntityNameID>
        <RepresentatedNamesOfAssistant/>
        <LegalEntityTypeID>4</LegalEntityTypeID>
        <IsVerdictExists>false</IsVerdictExists>
        <IsAsirAzir>false</IsAsirAzir>
        <IsPublicationProhibited>false</IsPublicationProhibited>
        <PublicationProhibitedFullName>שנהב מצה</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תל אביב</FullName>
        <LastName>שרות מבחן למבוגרים - תל אביב</LastName>
        <PartyPropertyName/>
        <AuthenticationTypeAndNumber>משרדי ממשלה 500106276</AuthenticationTypeAndNumber>
        <RepresentatedOrRepresentativesNames/>
        <RepresentatedOrRepresentativesCount>0</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183342387</CasePartyID>
        <PartyTypeID>3</PartyTypeID>
        <ActivityStatusID>1</ActivityStatusID>
        <OrdinalNumber>1</OrdinalNumber>
        <LegalEntityID>2116694</LegalEntityID>
        <CaseLegalEntityID>102577009</CaseLegalEntityID>
        <AssistantRoleID>14</AssistantRoleID>
        <AuthenticationTypeID>13</AuthenticationTypeID>
        <AuthenticationTypeName>משרדי ממשלה</AuthenticationTypeName>
        <LegalEntityNumber>500106276</LegalEntityNumber>
        <IsMainPartyType>true</IsMainPartyType>
        <CaseDisplayIdentifier>34198-06-18</CaseDisplayIdentifier>
        <CaseTypeID>10077</CaseTypeID>
        <CaseTypeName>תיק פשעים חמורים (תפ"ח)</CaseTypeName>
        <CaseName>מדינת ישראל נ' מאלוק(עציר)</CaseName>
        <FullAddress>קיבוץ גלויות 106 תל אביב -יפו </FullAddress>
        <EmailAddress>f2m_025085485@molsa.gov.il</EmailAddress>
        <MotionID>0</MotionID>
        <CasePleaID>0</CasePleaID>
        <LinkedCaseID>0</LinkedCaseID>
        <CasePartyCategoryID>2</CasePartyCategoryID>
        <LegalEntityAddressID>80491378</LegalEntityAddressID>
        <LegalEntityEmailAddressID>67917150</LegalEntityEmailAddressID>
        <PleaTypeID>8</PleaTypeID>
        <GroupPartyAlias/>
        <IsConverted>false</IsConverted>
        <LegalEntityRegisteredNameID>1723259</LegalEntityRegisteredNameID>
        <RepresentatedNamesOfAssistant/>
        <LegalEntityTypeID>3</LegalEntityTypeID>
        <IsVerdictExists>false</IsVerdictExists>
        <IsAsirAzir>false</IsAsirAzir>
        <IsPublicationProhibited>false</IsPublicationProhibited>
        <PublicationProhibitedFullName>שרות מבחן למבוגרים - תל אביב</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שאדי מאלוק</FullName>
        <FirstName>שאדי</FirstName>
        <LastName>מאלוק</LastName>
        <PartyPropertyName/>
        <AuthenticationTypeAndNumber>ת"ז 322892290</AuthenticationTypeAndNumber>
        <RepresentatedOrRepresentativesNames/>
        <RepresentatedOrRepresentativesCount>0</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207821888</CasePartyID>
        <PartyTypeID>4</PartyTypeID>
        <ActivityStatusID>1</ActivityStatusID>
        <PartyAliasID>71</PartyAliasID>
        <PartyAliasName>עד מאשימה</PartyAliasName>
        <OrdinalNumber>1</OrdinalNumber>
        <LegalEntityID>22170555</LegalEntityID>
        <CaseLegalEntityID>109803713</CaseLegalEntityID>
        <AuthenticationTypeID>1</AuthenticationTypeID>
        <AuthenticationTypeName>ת"ז</AuthenticationTypeName>
        <LegalEntityNumber>322892290</LegalEntityNumber>
        <IsMainPartyType>true</IsMainPartyType>
        <CaseDisplayIdentifier>34198-06-18</CaseDisplayIdentifier>
        <CaseTypeID>10077</CaseTypeID>
        <CaseTypeName>תיק פשעים חמורים (תפ"ח)</CaseTypeName>
        <CaseName>מדינת ישראל נ' מאלוק(עציר)</CaseName>
        <FullAddress>ברוך קרוא 24 תל אביב -יפו </FullAddress>
        <MotionID>0</MotionID>
        <CasePleaID>0</CasePleaID>
        <FatherName>שלום</FatherName>
        <LinkedCaseID>0</LinkedCaseID>
        <PartyID>1</PartyID>
        <CasePartyCategoryID>2</CasePartyCategoryID>
        <LegalEntityAddressID>83576041</LegalEntityAddressID>
        <PleaTypeID>8</PleaTypeID>
        <GroupPartyAlias/>
        <IsConverted>false</IsConverted>
        <LegalEntityRegisteredNameID>4849571</LegalEntityRegisteredNameID>
        <LegalEntityNameID>89144683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שאדי מאלוק</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183342389</CasePartyID>
        <PartyTypeID>1</PartyTypeID>
        <ActivityStatusID>1</ActivityStatusID>
        <PartyAliasID>11</PartyAliasID>
        <PartyAliasName>מאשימה</PartyAliasName>
        <OrdinalNumber>1</OrdinalNumber>
        <LegalEntityID>4</LegalEntityID>
        <CaseLegalEntityID>102577011</CaseLegalEntityID>
        <AuthenticationTypeID>41</AuthenticationTypeID>
        <AuthenticationTypeName>מדינת ישראל </AuthenticationTypeName>
        <LegalEntityNumber/>
        <IsMainPartyType>true</IsMainPartyType>
        <CaseDisplayIdentifier>34198-06-18</CaseDisplayIdentifier>
        <CaseTypeID>10077</CaseTypeID>
        <CaseTypeName>תיק פשעים חמורים (תפ"ח)</CaseTypeName>
        <CaseName>מדינת ישראל נ' מאלוק(עציר)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183342390</CasePartyID>
        <PartyTypeID>2</PartyTypeID>
        <ActivityStatusID>1</ActivityStatusID>
        <PartyAliasID>30</PartyAliasID>
        <PartyAliasName>בא כוח מאשימה</PartyAliasName>
        <OrdinalNumber>1</OrdinalNumber>
        <LegalEntityID>391529</LegalEntityID>
        <CaseLegalEntityID>102577012</CaseLegalEntityID>
        <AuthenticationTypeID>4</AuthenticationTypeID>
        <AuthenticationTypeName>מ.ר.</AuthenticationTypeName>
        <LegalEntityNumber>14734</LegalEntityNumber>
        <IsMainPartyType>true</IsMainPartyType>
        <CaseDisplayIdentifier>34198-06-18</CaseDisplayIdentifier>
        <CaseTypeID>10077</CaseTypeID>
        <CaseTypeName>תיק פשעים חמורים (תפ"ח)</CaseTypeName>
        <CaseName>מדינת ישראל נ' מאלוק(עציר)</CaseName>
        <FullAddress>הנרייטה סולד 1 תל אביב -יפו </FullAddress>
        <EmailAddress>DA-TLV-criminal@justice.gov.il</EmailAddress>
        <MotionID>0</MotionID>
        <CasePleaID>0</CasePleaID>
        <LinkedCaseID>0</LinkedCaseID>
        <PartyID>1</PartyID>
        <CasePartyCategoryID>2</CasePartyCategoryID>
        <LegalEntityAddressID>76302119</LegalEntityAddressID>
        <LegalEntityEmailAddressID>68159580</LegalEntityEmail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IsPublicationProhibited>false</IsPublicationProhibited>
        <PublicationProhibitedFullName>אשרה גז</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פאדי מאלוק (עציר)</FullName>
        <FirstName>פאדי</FirstName>
        <LastName>מאלוק</LastName>
        <PartyPropertyID>6</PartyPropertyID>
        <PartyPropertyName/>
        <AuthenticationTypeAndNumber>ת"ז 313907073</AuthenticationTypeAndNumber>
        <RepresentatedOrRepresentativesNames>עופר אשכנזי, שנהב מצה</RepresentatedOrRepresentativesNames>
        <RepresentatedOrRepresentativesCount>2</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183342391</CasePartyID>
        <PartyTypeID>1</PartyTypeID>
        <ActivityStatusID>1</ActivityStatusID>
        <PartyAliasID>13</PartyAliasID>
        <PartyAliasName>נאשם</PartyAliasName>
        <OrdinalNumber>1</OrdinalNumber>
        <LegalEntityID>58110636</LegalEntityID>
        <CaseLegalEntityID>102577013</CaseLegalEntityID>
        <AuthenticationTypeID>1</AuthenticationTypeID>
        <AuthenticationTypeName>ת"ז</AuthenticationTypeName>
        <LegalEntityNumber>313907073</LegalEntityNumber>
        <IsMainPartyType>true</IsMainPartyType>
        <CaseDisplayIdentifier>34198-06-18</CaseDisplayIdentifier>
        <CaseTypeID>10077</CaseTypeID>
        <CaseTypeName>תיק פשעים חמורים (תפ"ח)</CaseTypeName>
        <CaseName>מדינת ישראל נ' מאלוק(עציר)</CaseName>
        <FullAddress>ברוך קרוא24 תל אביב -יפו </FullAddress>
        <MotionID>0</MotionID>
        <CasePleaID>0</CasePleaID>
        <BirthDate>1994-01-01T00:00:00+02:00</BirthDate>
        <FatherName>גמעה</FatherName>
        <LinkedCaseID>0</LinkedCaseID>
        <PartyID>2</PartyID>
        <CasePartyCategoryID>2</CasePartyCategoryID>
        <LegalEntityAddressID>81399464</LegalEntityAddressID>
        <PleaTypeID>8</PleaTypeID>
        <GroupPartyAlias>נאשמים</GroupPartyAlias>
        <IsConverted>false</IsConverted>
        <LegalEntityRegisteredNameID>7611053</LegalEntityRegisteredNameID>
        <LegalEntityNameID>85946789</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פאדי מאלוק (עציר)</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שב"ס היחידה לתאום ופיקוח אלקטרוני</FullName>
        <LastName>שב"ס היחידה לתאום ופיקוח אלקטרוני</LastName>
        <PartyPropertyName/>
        <AuthenticationTypeAndNumber>משרדי ממשלה 513442041</AuthenticationTypeAndNumber>
        <RepresentatedOrRepresentativesNames/>
        <RepresentatedOrRepresentativesCount>0</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183342388</CasePartyID>
        <PartyTypeID>3</PartyTypeID>
        <ActivityStatusID>1</ActivityStatusID>
        <OrdinalNumber>2</OrdinalNumber>
        <LegalEntityID>7551403</LegalEntityID>
        <CaseLegalEntityID>102577010</CaseLegalEntityID>
        <AssistantRoleID>33</AssistantRoleID>
        <AuthenticationTypeID>13</AuthenticationTypeID>
        <AuthenticationTypeName>משרדי ממשלה</AuthenticationTypeName>
        <LegalEntityNumber>513442041</LegalEntityNumber>
        <IsMainPartyType>true</IsMainPartyType>
        <CaseDisplayIdentifier>34198-06-18</CaseDisplayIdentifier>
        <CaseTypeID>10077</CaseTypeID>
        <CaseTypeName>תיק פשעים חמורים (תפ"ח)</CaseTypeName>
        <CaseName>מדינת ישראל נ' מאלוק(עציר)</CaseName>
        <FullAddress>נציבות שב"ס רמלה המשרד לביטחון פנים, היחידה לתאום ופיקוח אלקטרוני</FullAddress>
        <MotionID>0</MotionID>
        <CasePleaID>0</CasePleaID>
        <LinkedCaseID>0</LinkedCaseID>
        <CasePartyCategoryID>2</CasePartyCategoryID>
        <LegalEntityAddressID>12916255</LegalEntityAddressID>
        <PleaTypeID>8</PleaTypeID>
        <GroupPartyAlias/>
        <IsConverted>false</IsConverted>
        <LegalEntityRegisteredNameID>1792295</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שריפה מאלוק</FullName>
        <FirstName>שריפה</FirstName>
        <LastName>מאלוק</LastName>
        <PartyPropertyName/>
        <AuthenticationTypeAndNumber>ת"ז 313907065</AuthenticationTypeAndNumber>
        <RepresentatedOrRepresentativesNames/>
        <RepresentatedOrRepresentativesCount>0</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207822105</CasePartyID>
        <PartyTypeID>4</PartyTypeID>
        <ActivityStatusID>1</ActivityStatusID>
        <PartyAliasID>101</PartyAliasID>
        <PartyAliasName>עד בית משפט</PartyAliasName>
        <OrdinalNumber>2</OrdinalNumber>
        <LegalEntityID>20977392</LegalEntityID>
        <CaseLegalEntityID>109803775</CaseLegalEntityID>
        <AuthenticationTypeID>1</AuthenticationTypeID>
        <AuthenticationTypeName>ת"ז</AuthenticationTypeName>
        <LegalEntityNumber>313907065</LegalEntityNumber>
        <IsMainPartyType>true</IsMainPartyType>
        <CaseDisplayIdentifier>34198-06-18</CaseDisplayIdentifier>
        <CaseTypeID>10077</CaseTypeID>
        <CaseTypeName>תיק פשעים חמורים (תפ"ח)</CaseTypeName>
        <CaseName>מדינת ישראל נ' מאלוק(עציר)</CaseName>
        <FullAddress>ברוך קרוא 24 תל אביב -יפו </FullAddress>
        <MotionID>0</MotionID>
        <CasePleaID>0</CasePleaID>
        <FatherName>סלים</FatherName>
        <LinkedCaseID>0</LinkedCaseID>
        <PartyID>1</PartyID>
        <CasePartyCategoryID>2</CasePartyCategoryID>
        <LegalEntityAddressID>83576065</LegalEntityAddressID>
        <PleaTypeID>8</PleaTypeID>
        <GroupPartyAlias/>
        <IsConverted>false</IsConverted>
        <LegalEntityRegisteredNameID>4849602</LegalEntityRegisteredNameID>
        <LegalEntityNameID>89144713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שריפה מאלוק</PublicationProhibitedFullName>
      </CaseParties>
    </CasePartiesSelectionDS>
    <DecisionName>גזר דין  שניתנה ע"י  גלעד נויטל</DecisionName>
    <CourtDisplayName>בית המשפט המחוזי בתל אביב -יפו</CourtDisplayName>
    <IsCaseJudgePanel>true</IsCaseJudgePanel>
    <DecisionSignatureDate>2023-12-10T14:36:16.342293+02:00</DecisionSignatureDate>
    <OpenCaseDate>2018-06-14T11:33:00+03:00</OpenCaseDate>
    <ExternalCaseNumber>2745/2018</ExternalCaseNumber>
    <DecisionTypeID>4</DecisionTypeID>
    <DecisionSignatureUserName>גלעד נויטל</DecisionSignatureUserName>
    <DecisionSignatureDateHebrew>2023-12-10T14:36:16.342293+02:00</DecisionSignatureDateHebrew>
    <DecisionWriterID>056151889@GOV.IL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מדינת ישראל נ' מאלוק(עציר)</CaseName>
    <DecisionNumberInCase>20</DecisionNumberInCase>
  </dt_Decision>
  <dt_DecisionCase>
    <DecisionID>0</DecisionID>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212559313</CasePartyID>
        <PartyTypeID>3</PartyTypeID>
        <ActivityStatusID>1</ActivityStatusID>
        <LegalEntityID>3488503</LegalEntityID>
        <CaseLegalEntityID>111263334</CaseLegalEntityID>
        <AssistantRoleID>26</AssistantRoleID>
        <AuthenticationTypeID>13</AuthenticationTypeID>
        <AuthenticationTypeName>משרדי ממשלה</AuthenticationTypeName>
        <LegalEntityNumber>513441966</LegalEntityNumber>
        <IsMainPartyType>true</IsMainPartyType>
        <CaseDisplayIdentifier>34198-06-18</CaseDisplayIdentifier>
        <CaseTypeID>10077</CaseTypeID>
        <CaseTypeName>תיק פשעים חמורים (תפ"ח)</CaseTypeName>
        <CaseName>מדינת ישראל נ' מאלוק(עציר)</CaseName>
        <FullAddress>הנרייטה סולד 4 תל אביב -יפו </FullAddress>
        <EmailAddress>SanegoriaTelavivMinu@justice.gov.il</EmailAddress>
        <MotionID>0</MotionID>
        <CasePleaID>0</CasePleaID>
        <LinkedCaseID>0</LinkedCaseID>
        <PartyID>1</PartyID>
        <CasePartyCategoryID>2</CasePartyCategoryID>
        <LegalEntityAddressID>12873121</LegalEntityAddressID>
        <LegalEntityEmailAddressID>67958702</LegalEntityEmailAddressID>
        <PleaTypeID>8</PleaTypeID>
        <GroupPartyAlias/>
        <IsConverted>false</IsConverted>
        <LegalEntityRegisteredNameID>5560373</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תל אביב</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עופר אשכנזי</FullName>
        <FirstName>עופר</FirstName>
        <LastName>אשכנזי</LastName>
        <PartyPropertyName/>
        <AuthenticationTypeAndNumber>מ.ר. 27370</AuthenticationTypeAndNumber>
        <RepresentatedOrRepresentativesNames>פאדי מאלוק</RepresentatedOrRepresentativesNames>
        <RepresentatedOrRepresentativesCount>1</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245740059</CasePartyID>
        <PartyTypeID>2</PartyTypeID>
        <ActivityStatusID>1</ActivityStatusID>
        <PartyAliasID>32</PartyAliasID>
        <PartyAliasName>בא כוח נאשמים</PartyAliasName>
        <LegalEntityID>387143</LegalEntityID>
        <CaseLegalEntityID>121279489</CaseLegalEntityID>
        <AuthenticationTypeID>4</AuthenticationTypeID>
        <AuthenticationTypeName>מ.ר.</AuthenticationTypeName>
        <LegalEntityNumber>27370</LegalEntityNumber>
        <IsMainPartyType>true</IsMainPartyType>
        <CaseDisplayIdentifier>34198-06-18</CaseDisplayIdentifier>
        <CaseTypeID>10077</CaseTypeID>
        <CaseTypeName>תיק פשעים חמורים (תפ"ח)</CaseTypeName>
        <CaseName>מדינת ישראל נ' מאלוק(עציר)</CaseName>
        <FullAddress>ז'בוטינסקי 33 רמת גן </FullAddress>
        <MotionID>0</MotionID>
        <CasePleaID>0</CasePleaID>
        <LinkedCaseID>0</LinkedCaseID>
        <PartyID>2</PartyID>
        <CasePartyCategoryID>2</CasePartyCategoryID>
        <LegalEntityAddressID>430125</LegalEntityAddressID>
        <PleaTypeID>8</PleaTypeID>
        <LawyerOfficeName>משרד עו"ד:אשכנזי-קלר</LawyerOfficeName>
        <LawyerOfficeID>427787</LawyerOfficeID>
        <GroupPartyAlias/>
        <IsConverted>false</IsConverted>
        <LegalEntityNameID>8127</LegalEntityNameID>
        <RepresentatedNamesOfAssistant/>
        <LegalEntityTypeID>4</LegalEntityTypeID>
        <IsVerdictExists>false</IsVerdictExists>
        <IsAsirAzir>false</IsAsirAzir>
        <IsPublicationProhibited>false</IsPublicationProhibited>
        <PublicationProhibitedFullName>עופר אשכנזי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שנהב מצה</FullName>
        <FirstName>שנהב</FirstName>
        <LastName>מצה</LastName>
        <PartyPropertyName/>
        <AuthenticationTypeAndNumber>מ.ר. 89448</AuthenticationTypeAndNumber>
        <RepresentatedOrRepresentativesNames>פאדי מאלוק</RepresentatedOrRepresentativesNames>
        <RepresentatedOrRepresentativesCount>1</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245740154</CasePartyID>
        <PartyTypeID>2</PartyTypeID>
        <ActivityStatusID>1</ActivityStatusID>
        <PartyAliasID>32</PartyAliasID>
        <PartyAliasName>בא כוח נאשמים</PartyAliasName>
        <LegalEntityID>80324421</LegalEntityID>
        <CaseLegalEntityID>121279501</CaseLegalEntityID>
        <AuthenticationTypeID>4</AuthenticationTypeID>
        <AuthenticationTypeName>מ.ר.</AuthenticationTypeName>
        <LegalEntityNumber>89448</LegalEntityNumber>
        <IsMainPartyType>true</IsMainPartyType>
        <CaseDisplayIdentifier>34198-06-18</CaseDisplayIdentifier>
        <CaseTypeID>10077</CaseTypeID>
        <CaseTypeName>תיק פשעים חמורים (תפ"ח)</CaseTypeName>
        <CaseName>מדינת ישראל נ' מאלוק(עציר)</CaseName>
        <FullAddress>ז'בוטינסקי 33 רמת גן </FullAddress>
        <MotionID>0</MotionID>
        <CasePleaID>0</CasePleaID>
        <LinkedCaseID>0</LinkedCaseID>
        <PartyID>2</PartyID>
        <CasePartyCategoryID>2</CasePartyCategoryID>
        <LegalEntityAddressID>430125</LegalEntityAddressID>
        <PleaTypeID>8</PleaTypeID>
        <LawyerOfficeName>משרד עו"ד:אשכנזי-קלר</LawyerOfficeName>
        <LawyerOfficeID>427787</LawyerOfficeID>
        <GroupPartyAlias/>
        <IsConverted>false</IsConverted>
        <LegalEntityNameID>92702385</LegalEntityNameID>
        <RepresentatedNamesOfAssistant/>
        <LegalEntityTypeID>4</LegalEntityTypeID>
        <IsVerdictExists>false</IsVerdictExists>
        <IsAsirAzir>false</IsAsirAzir>
        <IsPublicationProhibited>false</IsPublicationProhibited>
        <PublicationProhibitedFullName>שנהב מצה</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תל אביב</FullName>
        <LastName>שרות מבחן למבוגרים - תל אביב</LastName>
        <PartyPropertyName/>
        <AuthenticationTypeAndNumber>משרדי ממשלה 500106276</AuthenticationTypeAndNumber>
        <RepresentatedOrRepresentativesNames/>
        <RepresentatedOrRepresentativesCount>0</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183342387</CasePartyID>
        <PartyTypeID>3</PartyTypeID>
        <ActivityStatusID>1</ActivityStatusID>
        <OrdinalNumber>1</OrdinalNumber>
        <LegalEntityID>2116694</LegalEntityID>
        <CaseLegalEntityID>102577009</CaseLegalEntityID>
        <AssistantRoleID>14</AssistantRoleID>
        <AuthenticationTypeID>13</AuthenticationTypeID>
        <AuthenticationTypeName>משרדי ממשלה</AuthenticationTypeName>
        <LegalEntityNumber>500106276</LegalEntityNumber>
        <IsMainPartyType>true</IsMainPartyType>
        <CaseDisplayIdentifier>34198-06-18</CaseDisplayIdentifier>
        <CaseTypeID>10077</CaseTypeID>
        <CaseTypeName>תיק פשעים חמורים (תפ"ח)</CaseTypeName>
        <CaseName>מדינת ישראל נ' מאלוק(עציר)</CaseName>
        <FullAddress>קיבוץ גלויות 106 תל אביב -יפו </FullAddress>
        <EmailAddress>f2m_025085485@molsa.gov.il</EmailAddress>
        <MotionID>0</MotionID>
        <CasePleaID>0</CasePleaID>
        <LinkedCaseID>0</LinkedCaseID>
        <CasePartyCategoryID>2</CasePartyCategoryID>
        <LegalEntityAddressID>80491378</LegalEntityAddressID>
        <LegalEntityEmailAddressID>67917150</LegalEntityEmailAddressID>
        <PleaTypeID>8</PleaTypeID>
        <GroupPartyAlias/>
        <IsConverted>false</IsConverted>
        <LegalEntityRegisteredNameID>1723259</LegalEntityRegisteredNameID>
        <RepresentatedNamesOfAssistant/>
        <LegalEntityTypeID>3</LegalEntityTypeID>
        <IsVerdictExists>false</IsVerdictExists>
        <IsAsirAzir>false</IsAsirAzir>
        <IsPublicationProhibited>false</IsPublicationProhibited>
        <PublicationProhibitedFullName>שרות מבחן למבוגרים - תל אביב</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שאדי מאלוק</FullName>
        <FirstName>שאדי</FirstName>
        <LastName>מאלוק</LastName>
        <PartyPropertyName/>
        <AuthenticationTypeAndNumber>ת"ז 322892290</AuthenticationTypeAndNumber>
        <RepresentatedOrRepresentativesNames/>
        <RepresentatedOrRepresentativesCount>0</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207821888</CasePartyID>
        <PartyTypeID>4</PartyTypeID>
        <ActivityStatusID>1</ActivityStatusID>
        <PartyAliasID>71</PartyAliasID>
        <PartyAliasName>עד מאשימה</PartyAliasName>
        <OrdinalNumber>1</OrdinalNumber>
        <LegalEntityID>22170555</LegalEntityID>
        <CaseLegalEntityID>109803713</CaseLegalEntityID>
        <AuthenticationTypeID>1</AuthenticationTypeID>
        <AuthenticationTypeName>ת"ז</AuthenticationTypeName>
        <LegalEntityNumber>322892290</LegalEntityNumber>
        <IsMainPartyType>true</IsMainPartyType>
        <CaseDisplayIdentifier>34198-06-18</CaseDisplayIdentifier>
        <CaseTypeID>10077</CaseTypeID>
        <CaseTypeName>תיק פשעים חמורים (תפ"ח)</CaseTypeName>
        <CaseName>מדינת ישראל נ' מאלוק(עציר)</CaseName>
        <FullAddress>ברוך קרוא 24 תל אביב -יפו </FullAddress>
        <MotionID>0</MotionID>
        <CasePleaID>0</CasePleaID>
        <FatherName>שלום</FatherName>
        <LinkedCaseID>0</LinkedCaseID>
        <PartyID>1</PartyID>
        <CasePartyCategoryID>2</CasePartyCategoryID>
        <LegalEntityAddressID>83576041</LegalEntityAddressID>
        <PleaTypeID>8</PleaTypeID>
        <GroupPartyAlias/>
        <IsConverted>false</IsConverted>
        <LegalEntityRegisteredNameID>4849571</LegalEntityRegisteredNameID>
        <LegalEntityNameID>89144683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שאדי מאלוק</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183342389</CasePartyID>
        <PartyTypeID>1</PartyTypeID>
        <ActivityStatusID>1</ActivityStatusID>
        <PartyAliasID>11</PartyAliasID>
        <PartyAliasName>מאשימה</PartyAliasName>
        <OrdinalNumber>1</OrdinalNumber>
        <LegalEntityID>4</LegalEntityID>
        <CaseLegalEntityID>102577011</CaseLegalEntityID>
        <AuthenticationTypeID>41</AuthenticationTypeID>
        <AuthenticationTypeName>מדינת ישראל </AuthenticationTypeName>
        <LegalEntityNumber/>
        <IsMainPartyType>true</IsMainPartyType>
        <CaseDisplayIdentifier>34198-06-18</CaseDisplayIdentifier>
        <CaseTypeID>10077</CaseTypeID>
        <CaseTypeName>תיק פשעים חמורים (תפ"ח)</CaseTypeName>
        <CaseName>מדינת ישראל נ' מאלוק(עציר)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183342390</CasePartyID>
        <PartyTypeID>2</PartyTypeID>
        <ActivityStatusID>1</ActivityStatusID>
        <PartyAliasID>30</PartyAliasID>
        <PartyAliasName>בא כוח מאשימה</PartyAliasName>
        <OrdinalNumber>1</OrdinalNumber>
        <LegalEntityID>391529</LegalEntityID>
        <CaseLegalEntityID>102577012</CaseLegalEntityID>
        <AuthenticationTypeID>4</AuthenticationTypeID>
        <AuthenticationTypeName>מ.ר.</AuthenticationTypeName>
        <LegalEntityNumber>14734</LegalEntityNumber>
        <IsMainPartyType>true</IsMainPartyType>
        <CaseDisplayIdentifier>34198-06-18</CaseDisplayIdentifier>
        <CaseTypeID>10077</CaseTypeID>
        <CaseTypeName>תיק פשעים חמורים (תפ"ח)</CaseTypeName>
        <CaseName>מדינת ישראל נ' מאלוק(עציר)</CaseName>
        <FullAddress>הנרייטה סולד 1 תל אביב -יפו </FullAddress>
        <EmailAddress>DA-TLV-criminal@justice.gov.il</EmailAddress>
        <MotionID>0</MotionID>
        <CasePleaID>0</CasePleaID>
        <LinkedCaseID>0</LinkedCaseID>
        <PartyID>1</PartyID>
        <CasePartyCategoryID>2</CasePartyCategoryID>
        <LegalEntityAddressID>76302119</LegalEntityAddressID>
        <LegalEntityEmailAddressID>68159580</LegalEntityEmail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IsPublicationProhibited>false</IsPublicationProhibited>
        <PublicationProhibitedFullName>אשרה גז</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פאדי מאלוק (עציר)</FullName>
        <FirstName>פאדי</FirstName>
        <LastName>מאלוק</LastName>
        <PartyPropertyID>6</PartyPropertyID>
        <PartyPropertyName/>
        <AuthenticationTypeAndNumber>ת"ז 313907073</AuthenticationTypeAndNumber>
        <RepresentatedOrRepresentativesNames>עופר אשכנזי, שנהב מצה</RepresentatedOrRepresentativesNames>
        <RepresentatedOrRepresentativesCount>2</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183342391</CasePartyID>
        <PartyTypeID>1</PartyTypeID>
        <ActivityStatusID>1</ActivityStatusID>
        <PartyAliasID>13</PartyAliasID>
        <PartyAliasName>נאשם</PartyAliasName>
        <OrdinalNumber>1</OrdinalNumber>
        <LegalEntityID>58110636</LegalEntityID>
        <CaseLegalEntityID>102577013</CaseLegalEntityID>
        <AuthenticationTypeID>1</AuthenticationTypeID>
        <AuthenticationTypeName>ת"ז</AuthenticationTypeName>
        <LegalEntityNumber>313907073</LegalEntityNumber>
        <IsMainPartyType>true</IsMainPartyType>
        <CaseDisplayIdentifier>34198-06-18</CaseDisplayIdentifier>
        <CaseTypeID>10077</CaseTypeID>
        <CaseTypeName>תיק פשעים חמורים (תפ"ח)</CaseTypeName>
        <CaseName>מדינת ישראל נ' מאלוק(עציר)</CaseName>
        <FullAddress>ברוך קרוא24 תל אביב -יפו </FullAddress>
        <MotionID>0</MotionID>
        <CasePleaID>0</CasePleaID>
        <BirthDate>1994-01-01T00:00:00+02:00</BirthDate>
        <FatherName>גמעה</FatherName>
        <LinkedCaseID>0</LinkedCaseID>
        <PartyID>2</PartyID>
        <CasePartyCategoryID>2</CasePartyCategoryID>
        <LegalEntityAddressID>81399464</LegalEntityAddressID>
        <PleaTypeID>8</PleaTypeID>
        <GroupPartyAlias>נאשמים</GroupPartyAlias>
        <IsConverted>false</IsConverted>
        <LegalEntityRegisteredNameID>7611053</LegalEntityRegisteredNameID>
        <LegalEntityNameID>85946789</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פאדי מאלוק (עציר)</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שב"ס היחידה לתאום ופיקוח אלקטרוני</FullName>
        <LastName>שב"ס היחידה לתאום ופיקוח אלקטרוני</LastName>
        <PartyPropertyName/>
        <AuthenticationTypeAndNumber>משרדי ממשלה 513442041</AuthenticationTypeAndNumber>
        <RepresentatedOrRepresentativesNames/>
        <RepresentatedOrRepresentativesCount>0</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183342388</CasePartyID>
        <PartyTypeID>3</PartyTypeID>
        <ActivityStatusID>1</ActivityStatusID>
        <OrdinalNumber>2</OrdinalNumber>
        <LegalEntityID>7551403</LegalEntityID>
        <CaseLegalEntityID>102577010</CaseLegalEntityID>
        <AssistantRoleID>33</AssistantRoleID>
        <AuthenticationTypeID>13</AuthenticationTypeID>
        <AuthenticationTypeName>משרדי ממשלה</AuthenticationTypeName>
        <LegalEntityNumber>513442041</LegalEntityNumber>
        <IsMainPartyType>true</IsMainPartyType>
        <CaseDisplayIdentifier>34198-06-18</CaseDisplayIdentifier>
        <CaseTypeID>10077</CaseTypeID>
        <CaseTypeName>תיק פשעים חמורים (תפ"ח)</CaseTypeName>
        <CaseName>מדינת ישראל נ' מאלוק(עציר)</CaseName>
        <FullAddress>נציבות שב"ס רמלה המשרד לביטחון פנים, היחידה לתאום ופיקוח אלקטרוני</FullAddress>
        <MotionID>0</MotionID>
        <CasePleaID>0</CasePleaID>
        <LinkedCaseID>0</LinkedCaseID>
        <CasePartyCategoryID>2</CasePartyCategoryID>
        <LegalEntityAddressID>12916255</LegalEntityAddressID>
        <PleaTypeID>8</PleaTypeID>
        <GroupPartyAlias/>
        <IsConverted>false</IsConverted>
        <LegalEntityRegisteredNameID>1792295</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שריפה מאלוק</FullName>
        <FirstName>שריפה</FirstName>
        <LastName>מאלוק</LastName>
        <PartyPropertyName/>
        <AuthenticationTypeAndNumber>ת"ז 313907065</AuthenticationTypeAndNumber>
        <RepresentatedOrRepresentativesNames/>
        <RepresentatedOrRepresentativesCount>0</RepresentatedOrRepresentativesCount>
        <InvitedBy/>
        <CaseID>75559122</CaseID>
        <CaseJudicialPersonPresentationDS>
          <CaseJudicalPersonActive>
            <CaseID>75559122</CaseID>
            <JudicialPersonID>056151889@GOV.IL</JudicialPersonID>
            <JudicialPersonTypeID>1</JudicialPersonTypeID>
            <JudicialTypeID>3</JudicialTypeID>
            <IsChairman>true</IsChairman>
            <TreatmentStartDate>2019-07-01T13:00:16.047+03:00</TreatmentStartDate>
            <TreatmentFinishDate>9999-12-31T23:59:59.997+02:00</TreatmentFinishDate>
            <IdentificationCardNumber>056151889</IdentificationCardNumber>
            <DisplayName>גלעד נויטל</DisplayName>
            <JudicialTypeName>הרכב שופטים</JudicialTypeName>
            <CaseJudicialGroupNumber>385837</CaseJudicialGroupNumber>
            <FirstName>גלעד</FirstName>
            <LastName>נויטל</LastName>
            <JudicialPersonTitle>שופט</JudicialPersonTitle>
          </CaseJudicalPersonActive>
          <CaseJudicalPersonActive>
            <CaseID>75559122</CaseID>
            <JudicialPersonID>057268427@GOV.IL</JudicialPersonID>
            <JudicialPersonTypeID>1</JudicialPersonTypeID>
            <JudicialTypeID>3</JudicialTypeID>
            <IsChairman>false</IsChairman>
            <TreatmentStartDate>2019-07-01T13:00:16.047+03:00</TreatmentStartDate>
            <TreatmentFinishDate>9999-12-31T23:59:59.997+02:00</TreatmentFinishDate>
            <IdentificationCardNumber>057268427</IdentificationCardNumber>
            <DisplayName>טלי חיימוביץ</DisplayName>
            <JudicialTypeName>הרכב שופטים</JudicialTypeName>
            <CaseJudicialGroupNumber>385837</CaseJudicialGroupNumber>
            <FirstName>טלי</FirstName>
            <LastName>חיימוביץ</LastName>
            <JudicialPersonTitle>שופט</JudicialPersonTitle>
          </CaseJudicalPersonActive>
          <CaseJudicalPersonActive>
            <CaseID>75559122</CaseID>
            <JudicialPersonID>023874597@GOV.IL</JudicialPersonID>
            <JudicialPersonTypeID>1</JudicialPersonTypeID>
            <JudicialTypeID>3</JudicialTypeID>
            <IsChairman>false</IsChairman>
            <TreatmentStartDate>2019-07-01T13:00:16.047+03:00</TreatmentStartDate>
            <TreatmentFinishDate>9999-12-31T23:59:59.997+02:00</TreatmentFinishDate>
            <IdentificationCardNumber>023874597</IdentificationCardNumber>
            <DisplayName>לימור ביבי</DisplayName>
            <JudicialTypeName>הרכב שופטים</JudicialTypeName>
            <CaseJudicialGroupNumber>385837</CaseJudicialGroupNumber>
            <FirstName>לימור</FirstName>
            <LastName>ביבי</LastName>
            <JudicialPersonTitle>שופט</JudicialPersonTitle>
          </CaseJudicalPersonActive>
        </CaseJudicialPersonPresentationDS>
        <CasePartyID>207822105</CasePartyID>
        <PartyTypeID>4</PartyTypeID>
        <ActivityStatusID>1</ActivityStatusID>
        <PartyAliasID>101</PartyAliasID>
        <PartyAliasName>עד בית משפט</PartyAliasName>
        <OrdinalNumber>2</OrdinalNumber>
        <LegalEntityID>20977392</LegalEntityID>
        <CaseLegalEntityID>109803775</CaseLegalEntityID>
        <AuthenticationTypeID>1</AuthenticationTypeID>
        <AuthenticationTypeName>ת"ז</AuthenticationTypeName>
        <LegalEntityNumber>313907065</LegalEntityNumber>
        <IsMainPartyType>true</IsMainPartyType>
        <CaseDisplayIdentifier>34198-06-18</CaseDisplayIdentifier>
        <CaseTypeID>10077</CaseTypeID>
        <CaseTypeName>תיק פשעים חמורים (תפ"ח)</CaseTypeName>
        <CaseName>מדינת ישראל נ' מאלוק(עציר)</CaseName>
        <FullAddress>ברוך קרוא 24 תל אביב -יפו </FullAddress>
        <MotionID>0</MotionID>
        <CasePleaID>0</CasePleaID>
        <FatherName>סלים</FatherName>
        <LinkedCaseID>0</LinkedCaseID>
        <PartyID>1</PartyID>
        <CasePartyCategoryID>2</CasePartyCategoryID>
        <LegalEntityAddressID>83576065</LegalEntityAddressID>
        <PleaTypeID>8</PleaTypeID>
        <GroupPartyAlias/>
        <IsConverted>false</IsConverted>
        <LegalEntityRegisteredNameID>4849602</LegalEntityRegisteredNameID>
        <LegalEntityNameID>89144713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שריפה מאלוק</PublicationProhibitedFullName>
      </CaseParties>
    </CasePartiesSelectionDS>
    <CaseName>מדינת ישראל נ' מאלוק(עציר)</CaseName>
    <CaseDisplayIdentifier>34198-06-18</CaseDisplayIdentifier>
    <CaseTypeShortName>תפ"ח</CaseTypeShortName>
  </dt_DecisionCase>
  <dt_DecisionJudgePanel>
    <JudgeID>056151889@GOV.IL</JudgeID>
    <DisplayName>נויטל</DisplayName>
    <RoleName>שופט</RoleName>
    <UserTitleName>שופט</UserTitleName>
  </dt_DecisionJudgePanel>
  <dt_DecisionJudgePanel>
    <JudgeID>057268427@GOV.IL</JudgeID>
    <DisplayName>חיימוביץ</DisplayName>
    <RoleName>שופט</RoleName>
    <UserTitleName>שופטת</UserTitleName>
  </dt_DecisionJudgePanel>
  <dt_DecisionJudgePanel>
    <JudgeID>023874597@GOV.IL</JudgeID>
    <DisplayName>ביבי</DisplayName>
    <RoleName>שופט</RoleName>
    <UserTitleName>שופטת</UserTitleName>
  </dt_DecisionJudgePanel>
  <dt_LegalEntityDetails>
    <Fax>02-6462536</Fax>
    <Phone>073-3923627</Phone>
    <AddressDesc/>
    <PartyID>1</PartyID>
    <PartyTypeID>3</PartyTypeID>
    <DecisionID>0</DecisionID>
    <AssistantRoleID>26</AssistantRoleID>
    <StreetName>הנרייטה סולד 4</StreetName>
    <ZipCode>61332</ZipCode>
    <CityName>תל אביב -יפו</CityName>
    <FullName> הסנגוריה הציבורית-מחוז תל אביב </FullName>
    <Email>SanegoriaTelavivMinu@justice.gov.il</Email>
    <IsPublicationProhibited>false</IsPublicationProhibited>
  </dt_LegalEntityDetails>
  <dt_LegalEntityDetails>
    <Fax>077-3183294</Fax>
    <Phone>03-5750750</Phone>
    <PartyID>2</PartyID>
    <PartyTypeID>2</PartyTypeID>
    <DecisionID>0</DecisionID>
    <StreetName>ז'בוטינסקי 33</StreetName>
    <ZipCode>52511</ZipCode>
    <CityName>רמת גן</CityName>
    <FullName>עופר אשכנזי</FullName>
    <IsPublicationProhibited>false</IsPublicationProhibited>
  </dt_LegalEntityDetails>
  <dt_LegalEntityDetails>
    <Fax>077-3183294</Fax>
    <Phone>03-5750750</Phone>
    <PartyID>2</PartyID>
    <PartyTypeID>2</PartyTypeID>
    <DecisionID>0</DecisionID>
    <StreetName>ז'בוטינסקי 33</StreetName>
    <ZipCode>52511</ZipCode>
    <CityName>רמת גן</CityName>
    <FullName>שנהב מצה</FullName>
    <IsPublicationProhibited>false</IsPublicationProhibited>
  </dt_LegalEntityDetails>
  <dt_LegalEntityDetails>
    <Fax>03-6826404</Fax>
    <Phone>072-3740511</Phone>
    <AddressDesc/>
    <PartyTypeID>3</PartyTypeID>
    <DecisionID>0</DecisionID>
    <AssistantRoleID>14</AssistantRoleID>
    <StreetName>קיבוץ גלויות 106</StreetName>
    <ZipCode>68022</ZipCode>
    <CityName>תל אביב -יפו</CityName>
    <FullName> שרות מבחן למבוגרים - תל אביב</FullName>
    <Email>f2m_025085485@molsa.gov.il</Email>
    <IsPublicationProhibited>false</IsPublicationProhibited>
  </dt_LegalEntityDetails>
  <dt_LegalEntityDetails>
    <PartyID>1</PartyID>
    <PartyTypeID>1</PartyTypeID>
    <DecisionID>0</DecisionID>
    <IsPublicationProhibited>false</IsPublicationProhibited>
  </dt_LegalEntityDetails>
  <dt_LegalEntityDetails>
    <Fax>073-3924003</Fax>
    <Phone>073-3924444</Phone>
    <PartyID>1</PartyID>
    <PartyTypeID>2</PartyTypeID>
    <DecisionID>0</DecisionID>
    <StreetName>הנרייטה סולד 1</StreetName>
    <CityName>תל אביב -יפו</CityName>
    <FullName>אשרה גז</FullName>
    <Email>DA-TLV-criminal@justice.gov.il</Email>
    <IsPublicationProhibited>false</IsPublicationProhibited>
  </dt_LegalEntityDetails>
  <dt_LegalEntityDetails>
    <PartyID>2</PartyID>
    <PartyTypeID>1</PartyTypeID>
    <DecisionID>0</DecisionID>
    <StreetName>ברוך קרוא24</StreetName>
    <CityName>תל אביב -יפו</CityName>
    <FullName>פאדי מאלוק</FullName>
    <IsPublicationProhibited>false</IsPublicationProhibited>
  </dt_LegalEntityDetails>
  <dt_LegalEntityDetails>
    <PartyID>1</PartyID>
    <PartyTypeID>4</PartyTypeID>
    <DecisionID>0</DecisionID>
    <IsPublicationProhibited>false</IsPublicationProhibited>
  </dt_LegalEntityDetails>
  <dt_LegalEntityDetails>
    <Fax>08-9193278</Fax>
    <Phone>074-7836666</Phone>
    <AddressDesc>המשרד לביטחון פנים, היחידה לתאום ופיקוח אלקטרוני</AddressDesc>
    <PartyTypeID>3</PartyTypeID>
    <DecisionID>0</DecisionID>
    <AssistantRoleID>33</AssistantRoleID>
    <StreetName>נציבות שב"ס</StreetName>
    <ZipCode>97200</ZipCode>
    <CityName>רמלה</CityName>
    <FullName/>
    <Email/>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גלעד נויטל, שופטת טלי חיימוביץ, שופטת לימור ביבי</CaseJudicalPerson>
  </dt_CaseJudicalPersonActive>
  <dt_Sitting>
    <FutureSittingDate>2023-12-14T15:00:00+02:00</FutureSittingDate>
    <PreviousMeetingDate>2023-11-08T09:00:00+02:00</PreviousMeetingDate>
    <NextSittingTypeID>15</NextSittingTypeID>
    <PreviousSittingTypeID>12</PreviousSittingTypeID>
    <NextMeetingDisplayName>גלעד נויטל, טלי חיימוביץ, לימור ביבי</NextMeetingDisplayName>
    <NextMeetingUserUPN>023874597@GOV.IL, 056151889@GOV.IL, 057268427@GOV.IL</NextMeetingUserUPN>
    <PreviousMeetingDisplayName>גלעד נויטל, טלי חיימוביץ, לימור ביבי</PreviousMeetingDisplayName>
    <PreviousMeetingUserUPN>023874597@GOV.IL, 056151889@GOV.IL, 057268427@GOV.IL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3893C-3850-4154-96F1-09068362C7AC}">
  <ds:schemaRefs/>
</ds:datastoreItem>
</file>

<file path=customXml/itemProps2.xml><?xml version="1.0" encoding="utf-8"?>
<ds:datastoreItem xmlns:ds="http://schemas.openxmlformats.org/officeDocument/2006/customXml" ds:itemID="{252F6ECE-0A75-4A84-9F90-98714DCAC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5661</Words>
  <Characters>26157</Characters>
  <Application>Microsoft Office Word</Application>
  <DocSecurity>0</DocSecurity>
  <Lines>512</Lines>
  <Paragraphs>145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2023-12-12T09:44:00Z</cp:lastPrinted>
  <dcterms:created xsi:type="dcterms:W3CDTF">2023-12-24T07:40:00Z</dcterms:created>
  <dcterms:modified xsi:type="dcterms:W3CDTF">2023-12-24T07:40:00Z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a7416e48d1bf0cd53e9bdfcd00b021c85f26680ff21c274ec76e439aa7ae9a41</vt:lpwstr>
  </property>
</Properties>
</file>